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</w:t>
      </w:r>
    </w:p>
    <w:p w:rsidR="00186EC3" w:rsidRP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EC3">
        <w:rPr>
          <w:rFonts w:ascii="Times New Roman" w:eastAsia="Times New Roman" w:hAnsi="Times New Roman" w:cs="Times New Roman"/>
          <w:sz w:val="28"/>
          <w:szCs w:val="28"/>
        </w:rPr>
        <w:t>от _____________№ ______</w:t>
      </w:r>
    </w:p>
    <w:p w:rsidR="00186EC3" w:rsidRDefault="00186EC3" w:rsidP="00186EC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6EC3" w:rsidRPr="007D0094" w:rsidRDefault="00186EC3" w:rsidP="00186EC3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6 год»</w:t>
      </w:r>
    </w:p>
    <w:p w:rsidR="00186EC3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Pr="00E250B0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0B0">
        <w:rPr>
          <w:rFonts w:ascii="Times New Roman" w:hAnsi="Times New Roman" w:cs="Times New Roman"/>
          <w:sz w:val="28"/>
          <w:szCs w:val="28"/>
        </w:rPr>
        <w:t>ПАСПОРТ</w:t>
      </w: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B0">
        <w:rPr>
          <w:rFonts w:ascii="Times New Roman" w:hAnsi="Times New Roman" w:cs="Times New Roman"/>
          <w:sz w:val="28"/>
          <w:szCs w:val="28"/>
        </w:rPr>
        <w:t>ведомственной целевой программы «Развитие культуры» на 2016 год</w:t>
      </w: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Pr="007D009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186EC3" w:rsidRPr="007D0094" w:rsidRDefault="00186EC3" w:rsidP="001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186EC3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186EC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186EC3">
              <w:rPr>
                <w:sz w:val="28"/>
                <w:szCs w:val="28"/>
              </w:rPr>
              <w:t xml:space="preserve"> главы администрации (губернатора) Краснодарского края от 14 октября 2013 года №</w:t>
            </w:r>
            <w:r>
              <w:rPr>
                <w:sz w:val="28"/>
                <w:szCs w:val="28"/>
              </w:rPr>
              <w:t> </w:t>
            </w:r>
            <w:r w:rsidRPr="00186EC3">
              <w:rPr>
                <w:sz w:val="28"/>
                <w:szCs w:val="28"/>
              </w:rPr>
              <w:t>1175 «Об утверждении государственной программы Краснодарского края «Развитие культуры»</w:t>
            </w:r>
            <w:r>
              <w:rPr>
                <w:sz w:val="28"/>
                <w:szCs w:val="28"/>
              </w:rPr>
              <w:t>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186EC3">
              <w:rPr>
                <w:sz w:val="28"/>
                <w:szCs w:val="28"/>
              </w:rPr>
              <w:t>подпрограммы «Кадровое Обеспечение сферы культуры и искусства Краснодарского края» на 2014 – 2016 годы»</w:t>
            </w: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1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520" w:type="dxa"/>
            <w:shd w:val="clear" w:color="auto" w:fill="auto"/>
          </w:tcPr>
          <w:p w:rsidR="00186EC3" w:rsidRDefault="00186EC3" w:rsidP="004330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520" w:type="dxa"/>
            <w:shd w:val="clear" w:color="auto" w:fill="auto"/>
          </w:tcPr>
          <w:p w:rsidR="00186EC3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6C29E6">
              <w:rPr>
                <w:sz w:val="28"/>
                <w:szCs w:val="28"/>
              </w:rPr>
              <w:t xml:space="preserve"> сохранение и пополнение кадрового потенциала в сфере культуры, искусства, кинематографии</w:t>
            </w:r>
            <w:r>
              <w:rPr>
                <w:sz w:val="28"/>
                <w:szCs w:val="28"/>
              </w:rPr>
              <w:t>.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 xml:space="preserve">конкурсах на территории </w:t>
            </w:r>
            <w:r>
              <w:rPr>
                <w:sz w:val="28"/>
                <w:szCs w:val="28"/>
              </w:rPr>
              <w:t>Переясловского</w:t>
            </w:r>
            <w:r w:rsidRPr="006C29E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 xml:space="preserve">обеспечение занятости жителей </w:t>
            </w:r>
            <w:r>
              <w:rPr>
                <w:sz w:val="28"/>
                <w:szCs w:val="28"/>
              </w:rPr>
              <w:t>Переясловского</w:t>
            </w:r>
            <w:r w:rsidRPr="006C29E6">
              <w:rPr>
                <w:sz w:val="28"/>
                <w:szCs w:val="28"/>
              </w:rPr>
              <w:t xml:space="preserve"> сельского поселения в праздничные дни;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186EC3" w:rsidRPr="006C29E6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lastRenderedPageBreak/>
              <w:t>воспитание в детях уважения к старшему поколению, родному краю;</w:t>
            </w:r>
          </w:p>
          <w:p w:rsidR="00186EC3" w:rsidRDefault="00186EC3" w:rsidP="00186EC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</w:t>
            </w:r>
            <w:r>
              <w:rPr>
                <w:sz w:val="28"/>
                <w:szCs w:val="28"/>
              </w:rPr>
              <w:t>тавляемых учреждениями культуры.</w:t>
            </w: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1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этапы</w:t>
            </w: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186EC3" w:rsidRPr="007D0094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86EC3" w:rsidRPr="007D0094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1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3491"/>
            </w:tblGrid>
            <w:tr w:rsidR="00186EC3" w:rsidTr="0043301D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4330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4330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186EC3" w:rsidTr="0043301D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4330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5F51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2 950,0</w:t>
                  </w:r>
                </w:p>
              </w:tc>
            </w:tr>
            <w:tr w:rsidR="00186EC3" w:rsidTr="0043301D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4330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EC3" w:rsidRDefault="00186EC3" w:rsidP="005F51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2 950,0</w:t>
                  </w:r>
                </w:p>
              </w:tc>
            </w:tr>
          </w:tbl>
          <w:p w:rsidR="00186EC3" w:rsidRPr="007D0094" w:rsidRDefault="00186EC3" w:rsidP="00186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EC3" w:rsidRPr="007D0094" w:rsidTr="005F5189">
        <w:trPr>
          <w:trHeight w:val="20"/>
        </w:trPr>
        <w:tc>
          <w:tcPr>
            <w:tcW w:w="3369" w:type="dxa"/>
            <w:shd w:val="clear" w:color="auto" w:fill="auto"/>
          </w:tcPr>
          <w:p w:rsidR="00186EC3" w:rsidRPr="00186EC3" w:rsidRDefault="00186EC3" w:rsidP="00433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960"/>
              <w:gridCol w:w="1060"/>
              <w:gridCol w:w="1413"/>
              <w:gridCol w:w="1413"/>
            </w:tblGrid>
            <w:tr w:rsidR="001D3284" w:rsidRPr="00BE0702" w:rsidTr="00E61873">
              <w:tc>
                <w:tcPr>
                  <w:tcW w:w="540" w:type="dxa"/>
                  <w:vAlign w:val="center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№</w:t>
                  </w:r>
                </w:p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004" w:type="dxa"/>
                  <w:vAlign w:val="center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Наименование</w:t>
                  </w:r>
                </w:p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559" w:type="dxa"/>
                  <w:vAlign w:val="center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Единица</w:t>
                  </w:r>
                </w:p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127" w:type="dxa"/>
                  <w:vAlign w:val="center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Значение в 2015 году</w:t>
                  </w:r>
                </w:p>
              </w:tc>
              <w:tc>
                <w:tcPr>
                  <w:tcW w:w="2126" w:type="dxa"/>
                  <w:vAlign w:val="center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1-й год реализации</w:t>
                  </w:r>
                </w:p>
              </w:tc>
            </w:tr>
            <w:tr w:rsidR="001D3284" w:rsidRPr="00BE0702" w:rsidTr="00E61873">
              <w:tc>
                <w:tcPr>
                  <w:tcW w:w="540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04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D3284" w:rsidRPr="005854EB" w:rsidTr="00E61873">
              <w:tc>
                <w:tcPr>
                  <w:tcW w:w="540" w:type="dxa"/>
                </w:tcPr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284" w:rsidRPr="001D3284" w:rsidRDefault="001D3284" w:rsidP="00E618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004" w:type="dxa"/>
                </w:tcPr>
                <w:p w:rsidR="001D3284" w:rsidRPr="001D3284" w:rsidRDefault="001D3284" w:rsidP="00E61873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повышение уровня профессионального мастерства, квалификации, качества и эффективности работы руководителей и специалистов учреждений культуры (субсидирование МБУ «Переясловский СДК») для повышения качества оказываемых услуг населению</w:t>
                  </w:r>
                </w:p>
              </w:tc>
              <w:tc>
                <w:tcPr>
                  <w:tcW w:w="1559" w:type="dxa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мес.</w:t>
                  </w:r>
                </w:p>
              </w:tc>
              <w:tc>
                <w:tcPr>
                  <w:tcW w:w="2127" w:type="dxa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126" w:type="dxa"/>
                </w:tcPr>
                <w:p w:rsidR="001D3284" w:rsidRPr="001D3284" w:rsidRDefault="001D3284" w:rsidP="00E61873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1D3284">
                    <w:rPr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186EC3" w:rsidRPr="005F5189" w:rsidRDefault="00186EC3" w:rsidP="005F5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3284" w:rsidRDefault="001D3284" w:rsidP="00186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84" w:rsidRDefault="001D32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6EC3" w:rsidRPr="00E46154" w:rsidRDefault="00186EC3" w:rsidP="00186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для достижения основных целей: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«Культура»;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186EC3" w:rsidRPr="007D0094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186EC3" w:rsidRDefault="00186EC3" w:rsidP="005F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186EC3" w:rsidRPr="007D0094" w:rsidRDefault="00186EC3" w:rsidP="005F5189">
      <w:pPr>
        <w:pStyle w:val="a3"/>
        <w:ind w:firstLine="709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186EC3" w:rsidRDefault="00186EC3" w:rsidP="005F5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186EC3" w:rsidRDefault="00186EC3" w:rsidP="00186E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0094"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5F5189">
        <w:rPr>
          <w:rFonts w:ascii="Times New Roman" w:hAnsi="Times New Roman" w:cs="Times New Roman"/>
          <w:b/>
          <w:sz w:val="28"/>
          <w:szCs w:val="28"/>
        </w:rPr>
        <w:t xml:space="preserve"> и описание </w:t>
      </w:r>
      <w:r w:rsidRPr="007D0094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186EC3" w:rsidRDefault="00186EC3" w:rsidP="00186EC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9C" w:rsidRPr="00BC749C" w:rsidRDefault="00BC749C" w:rsidP="00186EC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749C"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BC749C" w:rsidRPr="007D0094" w:rsidRDefault="00BC749C" w:rsidP="00186EC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64"/>
        <w:gridCol w:w="1450"/>
        <w:gridCol w:w="1159"/>
        <w:gridCol w:w="1014"/>
        <w:gridCol w:w="1014"/>
        <w:gridCol w:w="2173"/>
      </w:tblGrid>
      <w:tr w:rsidR="005F5189" w:rsidRPr="007D0094" w:rsidTr="005F5189">
        <w:trPr>
          <w:trHeight w:val="20"/>
        </w:trPr>
        <w:tc>
          <w:tcPr>
            <w:tcW w:w="567" w:type="dxa"/>
            <w:vMerge w:val="restart"/>
          </w:tcPr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F5189" w:rsidRPr="00357BC7" w:rsidRDefault="005F5189" w:rsidP="005F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</w:t>
            </w:r>
          </w:p>
        </w:tc>
        <w:tc>
          <w:tcPr>
            <w:tcW w:w="1418" w:type="dxa"/>
            <w:vMerge w:val="restart"/>
          </w:tcPr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134" w:type="dxa"/>
            <w:vMerge w:val="restart"/>
          </w:tcPr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1984" w:type="dxa"/>
            <w:gridSpan w:val="2"/>
          </w:tcPr>
          <w:p w:rsidR="005F5189" w:rsidRPr="00357BC7" w:rsidRDefault="005F5189" w:rsidP="005F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(тыс.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126" w:type="dxa"/>
            <w:vMerge w:val="restart"/>
          </w:tcPr>
          <w:p w:rsidR="005F5189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F5189" w:rsidRPr="007D0094" w:rsidTr="005F5189">
        <w:trPr>
          <w:trHeight w:val="20"/>
        </w:trPr>
        <w:tc>
          <w:tcPr>
            <w:tcW w:w="567" w:type="dxa"/>
            <w:vMerge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F5189" w:rsidRPr="00357BC7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26" w:type="dxa"/>
            <w:vMerge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89" w:rsidRPr="007D0094" w:rsidTr="005F5189">
        <w:trPr>
          <w:trHeight w:val="20"/>
        </w:trPr>
        <w:tc>
          <w:tcPr>
            <w:tcW w:w="567" w:type="dxa"/>
          </w:tcPr>
          <w:p w:rsidR="005F5189" w:rsidRPr="00357BC7" w:rsidRDefault="005F5189" w:rsidP="005F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5189" w:rsidRPr="00357BC7" w:rsidRDefault="005F5189" w:rsidP="005F5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(МБУ «Переясловский СДК»)</w:t>
            </w:r>
          </w:p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МБУ «Переясловский СДК»</w:t>
            </w:r>
          </w:p>
        </w:tc>
        <w:tc>
          <w:tcPr>
            <w:tcW w:w="1134" w:type="dxa"/>
          </w:tcPr>
          <w:p w:rsidR="005F5189" w:rsidRPr="00357BC7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5F5189" w:rsidRPr="00C871CF" w:rsidRDefault="005F5189" w:rsidP="005F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2 950,0</w:t>
            </w:r>
          </w:p>
        </w:tc>
        <w:tc>
          <w:tcPr>
            <w:tcW w:w="992" w:type="dxa"/>
          </w:tcPr>
          <w:p w:rsidR="005F5189" w:rsidRPr="00C871CF" w:rsidRDefault="005F5189" w:rsidP="005F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2 950,0</w:t>
            </w:r>
          </w:p>
        </w:tc>
        <w:tc>
          <w:tcPr>
            <w:tcW w:w="2126" w:type="dxa"/>
          </w:tcPr>
          <w:p w:rsidR="005F5189" w:rsidRPr="005F5189" w:rsidRDefault="005F5189" w:rsidP="005F51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5F5189" w:rsidRPr="007D0094" w:rsidTr="005F5189">
        <w:trPr>
          <w:trHeight w:val="20"/>
        </w:trPr>
        <w:tc>
          <w:tcPr>
            <w:tcW w:w="5529" w:type="dxa"/>
            <w:gridSpan w:val="4"/>
          </w:tcPr>
          <w:p w:rsidR="005F5189" w:rsidRPr="007D0094" w:rsidRDefault="005F5189" w:rsidP="005F51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5F5189" w:rsidRPr="00AC7030" w:rsidRDefault="005F5189" w:rsidP="0043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2 950,0</w:t>
            </w:r>
          </w:p>
        </w:tc>
        <w:tc>
          <w:tcPr>
            <w:tcW w:w="992" w:type="dxa"/>
          </w:tcPr>
          <w:p w:rsidR="005F5189" w:rsidRPr="00AC7030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2 950,0</w:t>
            </w:r>
          </w:p>
        </w:tc>
        <w:tc>
          <w:tcPr>
            <w:tcW w:w="2126" w:type="dxa"/>
          </w:tcPr>
          <w:p w:rsidR="005F5189" w:rsidRPr="00AC7030" w:rsidRDefault="005F5189" w:rsidP="00433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C3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186EC3" w:rsidRPr="00E46154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C3" w:rsidRPr="00E46154" w:rsidRDefault="00186EC3" w:rsidP="00BC7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186EC3" w:rsidRPr="00E46154" w:rsidRDefault="00186EC3" w:rsidP="00BC7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5189" w:rsidRPr="005F5189">
        <w:rPr>
          <w:rFonts w:ascii="Times New Roman" w:hAnsi="Times New Roman" w:cs="Times New Roman"/>
          <w:sz w:val="28"/>
          <w:szCs w:val="28"/>
        </w:rPr>
        <w:t>Переясловского</w:t>
      </w:r>
      <w:r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186EC3" w:rsidRPr="00E46154" w:rsidRDefault="00186EC3" w:rsidP="00BC7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</w:t>
      </w:r>
      <w:r w:rsidR="005F5189">
        <w:rPr>
          <w:rFonts w:ascii="Times New Roman" w:hAnsi="Times New Roman" w:cs="Times New Roman"/>
          <w:sz w:val="28"/>
          <w:szCs w:val="28"/>
        </w:rPr>
        <w:t>главным специалистом, главным бухгалтером администрации Переясловского сельского поселения Брюховецкого района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186EC3" w:rsidRPr="00E46154" w:rsidRDefault="00186EC3" w:rsidP="00BC749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</w:t>
      </w:r>
      <w:r w:rsidR="005F5189">
        <w:rPr>
          <w:rFonts w:ascii="Times New Roman" w:hAnsi="Times New Roman" w:cs="Times New Roman"/>
          <w:sz w:val="28"/>
          <w:szCs w:val="28"/>
        </w:rPr>
        <w:t>Переясловского</w:t>
      </w:r>
      <w:r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Брюховецкого.</w:t>
      </w:r>
    </w:p>
    <w:p w:rsidR="00186EC3" w:rsidRPr="00E46154" w:rsidRDefault="00186EC3" w:rsidP="00BC749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BC749C">
        <w:rPr>
          <w:rFonts w:ascii="Times New Roman" w:hAnsi="Times New Roman" w:cs="Times New Roman"/>
          <w:sz w:val="28"/>
          <w:szCs w:val="28"/>
        </w:rPr>
        <w:t>главный специалист, финансист ад</w:t>
      </w:r>
      <w:r w:rsidRPr="00E4615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C749C">
        <w:rPr>
          <w:rFonts w:ascii="Times New Roman" w:hAnsi="Times New Roman" w:cs="Times New Roman"/>
          <w:sz w:val="28"/>
          <w:szCs w:val="28"/>
        </w:rPr>
        <w:t>Переясловского</w:t>
      </w:r>
      <w:r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186EC3" w:rsidRPr="00E46154" w:rsidRDefault="00BC749C" w:rsidP="00BC7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главный бухгалтер</w:t>
      </w:r>
      <w:r w:rsidR="00186EC3" w:rsidRPr="00E461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="00186EC3"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="00186EC3"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186EC3" w:rsidRPr="00E46154" w:rsidRDefault="00BC749C" w:rsidP="00BC7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главный бухгалтер</w:t>
      </w:r>
      <w:r w:rsidRPr="00E461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4615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186EC3" w:rsidRPr="00E46154">
        <w:rPr>
          <w:rFonts w:ascii="Times New Roman" w:hAnsi="Times New Roman" w:cs="Times New Roman"/>
          <w:sz w:val="28"/>
          <w:szCs w:val="28"/>
        </w:rPr>
        <w:t xml:space="preserve">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="00186EC3" w:rsidRPr="00E46154">
        <w:rPr>
          <w:rFonts w:ascii="Times New Roman" w:hAnsi="Times New Roman" w:cs="Times New Roman"/>
          <w:sz w:val="28"/>
          <w:szCs w:val="28"/>
        </w:rPr>
        <w:t>сельского поселения Брюховецко</w:t>
      </w:r>
      <w:r>
        <w:rPr>
          <w:rFonts w:ascii="Times New Roman" w:hAnsi="Times New Roman" w:cs="Times New Roman"/>
          <w:sz w:val="28"/>
          <w:szCs w:val="28"/>
        </w:rPr>
        <w:t>го района.</w:t>
      </w:r>
    </w:p>
    <w:p w:rsidR="00186EC3" w:rsidRDefault="00186EC3" w:rsidP="00186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BC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p w:rsidR="00BC749C" w:rsidRDefault="00BC749C" w:rsidP="00BC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9C" w:rsidRPr="00BC749C" w:rsidRDefault="00BC749C" w:rsidP="00BC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49C"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BC749C" w:rsidRPr="00E46154" w:rsidRDefault="00BC749C" w:rsidP="00BC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164"/>
        <w:gridCol w:w="1642"/>
        <w:gridCol w:w="2240"/>
        <w:gridCol w:w="2239"/>
      </w:tblGrid>
      <w:tr w:rsidR="00186EC3" w:rsidRPr="00E46154" w:rsidTr="00BC749C">
        <w:tc>
          <w:tcPr>
            <w:tcW w:w="540" w:type="dxa"/>
            <w:vAlign w:val="center"/>
          </w:tcPr>
          <w:p w:rsidR="00186EC3" w:rsidRPr="00BE0702" w:rsidRDefault="00186EC3" w:rsidP="00BC749C">
            <w:pPr>
              <w:pStyle w:val="a3"/>
              <w:jc w:val="center"/>
            </w:pPr>
            <w:r w:rsidRPr="00BE0702">
              <w:t>№</w:t>
            </w:r>
          </w:p>
          <w:p w:rsidR="00186EC3" w:rsidRPr="00BE0702" w:rsidRDefault="00186EC3" w:rsidP="00BC749C">
            <w:pPr>
              <w:pStyle w:val="a3"/>
              <w:jc w:val="center"/>
            </w:pPr>
            <w:r w:rsidRPr="00BE0702">
              <w:t>п/п</w:t>
            </w:r>
          </w:p>
        </w:tc>
        <w:tc>
          <w:tcPr>
            <w:tcW w:w="3004" w:type="dxa"/>
            <w:vAlign w:val="center"/>
          </w:tcPr>
          <w:p w:rsidR="00186EC3" w:rsidRPr="00BE0702" w:rsidRDefault="00186EC3" w:rsidP="00BC749C">
            <w:pPr>
              <w:pStyle w:val="a3"/>
              <w:jc w:val="center"/>
            </w:pPr>
            <w:r w:rsidRPr="00BE0702">
              <w:t>Наименование</w:t>
            </w:r>
          </w:p>
          <w:p w:rsidR="00186EC3" w:rsidRPr="00BE0702" w:rsidRDefault="00186EC3" w:rsidP="00BC749C">
            <w:pPr>
              <w:pStyle w:val="a3"/>
              <w:jc w:val="center"/>
            </w:pPr>
            <w:r w:rsidRPr="00BE0702">
              <w:t>индикатора целей</w:t>
            </w:r>
          </w:p>
        </w:tc>
        <w:tc>
          <w:tcPr>
            <w:tcW w:w="1559" w:type="dxa"/>
            <w:vAlign w:val="center"/>
          </w:tcPr>
          <w:p w:rsidR="00186EC3" w:rsidRPr="00BE0702" w:rsidRDefault="00186EC3" w:rsidP="00BC749C">
            <w:pPr>
              <w:pStyle w:val="a3"/>
              <w:jc w:val="center"/>
            </w:pPr>
            <w:r w:rsidRPr="00BE0702">
              <w:t>Единица</w:t>
            </w:r>
          </w:p>
          <w:p w:rsidR="00186EC3" w:rsidRPr="00BE0702" w:rsidRDefault="00186EC3" w:rsidP="00BC749C">
            <w:pPr>
              <w:pStyle w:val="a3"/>
              <w:jc w:val="center"/>
            </w:pPr>
            <w:r w:rsidRPr="00BE0702">
              <w:t>измерения</w:t>
            </w:r>
          </w:p>
        </w:tc>
        <w:tc>
          <w:tcPr>
            <w:tcW w:w="2127" w:type="dxa"/>
            <w:vAlign w:val="center"/>
          </w:tcPr>
          <w:p w:rsidR="00186EC3" w:rsidRPr="00BE0702" w:rsidRDefault="00186EC3" w:rsidP="00BC749C">
            <w:pPr>
              <w:pStyle w:val="a3"/>
              <w:jc w:val="center"/>
            </w:pPr>
            <w:r w:rsidRPr="00BE0702">
              <w:t>Значение</w:t>
            </w:r>
            <w:r w:rsidR="00BC749C">
              <w:t xml:space="preserve"> в 2015 году</w:t>
            </w:r>
          </w:p>
        </w:tc>
        <w:tc>
          <w:tcPr>
            <w:tcW w:w="2126" w:type="dxa"/>
            <w:vAlign w:val="center"/>
          </w:tcPr>
          <w:p w:rsidR="00186EC3" w:rsidRPr="00BE0702" w:rsidRDefault="00BC749C" w:rsidP="00BC749C">
            <w:pPr>
              <w:pStyle w:val="a3"/>
              <w:jc w:val="center"/>
            </w:pPr>
            <w:r>
              <w:t>1-й год реализации</w:t>
            </w:r>
          </w:p>
        </w:tc>
      </w:tr>
      <w:tr w:rsidR="00186EC3" w:rsidRPr="00E46154" w:rsidTr="00BC749C">
        <w:tc>
          <w:tcPr>
            <w:tcW w:w="540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EC3" w:rsidRPr="00E46154" w:rsidTr="00BC749C">
        <w:tc>
          <w:tcPr>
            <w:tcW w:w="540" w:type="dxa"/>
          </w:tcPr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C3" w:rsidRPr="00BE0702" w:rsidRDefault="00186EC3" w:rsidP="00BC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186EC3" w:rsidRPr="00BE0702" w:rsidRDefault="00BC749C" w:rsidP="00BC749C">
            <w:pPr>
              <w:pStyle w:val="a3"/>
              <w:jc w:val="both"/>
            </w:pPr>
            <w:r w:rsidRPr="00BC749C">
              <w:t xml:space="preserve">повышение уровня профессионального мастерства, квалификации, качества и эффективности работы руководителей и специалистов учреждений </w:t>
            </w:r>
            <w:r w:rsidRPr="00BC749C">
              <w:lastRenderedPageBreak/>
              <w:t>культуры</w:t>
            </w:r>
            <w:r>
              <w:t xml:space="preserve"> (субсидирование МБУ «Переясловский СДК»)</w:t>
            </w:r>
            <w:r w:rsidR="001D3284">
              <w:t xml:space="preserve"> для повышения качества оказываемых услуг населению</w:t>
            </w:r>
          </w:p>
        </w:tc>
        <w:tc>
          <w:tcPr>
            <w:tcW w:w="1559" w:type="dxa"/>
          </w:tcPr>
          <w:p w:rsidR="00186EC3" w:rsidRPr="00BE0702" w:rsidRDefault="00BC749C" w:rsidP="00BC749C">
            <w:pPr>
              <w:pStyle w:val="a3"/>
              <w:jc w:val="center"/>
            </w:pPr>
            <w:r>
              <w:lastRenderedPageBreak/>
              <w:t>мес.</w:t>
            </w:r>
          </w:p>
        </w:tc>
        <w:tc>
          <w:tcPr>
            <w:tcW w:w="2127" w:type="dxa"/>
          </w:tcPr>
          <w:p w:rsidR="00186EC3" w:rsidRPr="005854EB" w:rsidRDefault="00BC749C" w:rsidP="00BC749C">
            <w:pPr>
              <w:pStyle w:val="a3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186EC3" w:rsidRPr="005854EB" w:rsidRDefault="00BC749C" w:rsidP="00BC749C">
            <w:pPr>
              <w:pStyle w:val="a3"/>
              <w:jc w:val="center"/>
            </w:pPr>
            <w:r>
              <w:t>12</w:t>
            </w:r>
          </w:p>
        </w:tc>
      </w:tr>
    </w:tbl>
    <w:p w:rsidR="00186EC3" w:rsidRDefault="00186EC3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284" w:rsidRDefault="00BC749C" w:rsidP="001D3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5F">
        <w:rPr>
          <w:rFonts w:ascii="Times New Roman" w:hAnsi="Times New Roman" w:cs="Times New Roman"/>
          <w:b/>
          <w:sz w:val="28"/>
          <w:szCs w:val="28"/>
        </w:rPr>
        <w:t xml:space="preserve">5. Оценка рисков реализации </w:t>
      </w:r>
      <w:r w:rsidR="00B2593E" w:rsidRPr="00DF225F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</w:t>
      </w:r>
      <w:r w:rsidRPr="00DF225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2593E" w:rsidRPr="00DF225F">
        <w:rPr>
          <w:rFonts w:ascii="Times New Roman" w:hAnsi="Times New Roman" w:cs="Times New Roman"/>
          <w:b/>
          <w:sz w:val="28"/>
          <w:szCs w:val="28"/>
        </w:rPr>
        <w:t>ы и механизмы и</w:t>
      </w:r>
      <w:r w:rsidR="00DF225F" w:rsidRPr="00DF225F">
        <w:rPr>
          <w:rFonts w:ascii="Times New Roman" w:hAnsi="Times New Roman" w:cs="Times New Roman"/>
          <w:b/>
          <w:sz w:val="28"/>
          <w:szCs w:val="28"/>
        </w:rPr>
        <w:t>х минимизации</w:t>
      </w:r>
    </w:p>
    <w:p w:rsidR="001D3284" w:rsidRDefault="001D3284" w:rsidP="00DF2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5F" w:rsidRPr="00DF225F" w:rsidRDefault="00DF225F" w:rsidP="00DF2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225F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DF225F" w:rsidRPr="00DF225F" w:rsidRDefault="00DF225F" w:rsidP="00DF2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DF225F" w:rsidRPr="00DF225F" w:rsidTr="0043301D">
        <w:trPr>
          <w:trHeight w:val="20"/>
        </w:trPr>
        <w:tc>
          <w:tcPr>
            <w:tcW w:w="496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DF225F" w:rsidRPr="00DF225F" w:rsidTr="0043301D">
        <w:trPr>
          <w:trHeight w:val="20"/>
        </w:trPr>
        <w:tc>
          <w:tcPr>
            <w:tcW w:w="496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DF225F" w:rsidRPr="00DF225F" w:rsidTr="0043301D">
        <w:trPr>
          <w:trHeight w:val="20"/>
        </w:trPr>
        <w:tc>
          <w:tcPr>
            <w:tcW w:w="496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DF225F" w:rsidRPr="00DF225F" w:rsidRDefault="00DF225F" w:rsidP="00DF2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5F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BC749C" w:rsidRDefault="00BC749C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5F" w:rsidRDefault="00DF225F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5F" w:rsidRDefault="00DF225F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0" w:rsidRDefault="00BC749C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186E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BC749C" w:rsidRDefault="00BC749C" w:rsidP="00BC7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749C" w:rsidRDefault="00BC749C" w:rsidP="00BC749C">
      <w:pPr>
        <w:tabs>
          <w:tab w:val="right" w:pos="963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</w:t>
      </w:r>
      <w:r w:rsidR="00DF225F">
        <w:rPr>
          <w:rFonts w:ascii="Times New Roman" w:hAnsi="Times New Roman" w:cs="Times New Roman"/>
          <w:sz w:val="28"/>
          <w:szCs w:val="28"/>
        </w:rPr>
        <w:t>ц</w:t>
      </w:r>
    </w:p>
    <w:sectPr w:rsidR="00BC749C" w:rsidSect="00DF225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F4" w:rsidRDefault="003162F4" w:rsidP="00BC749C">
      <w:pPr>
        <w:spacing w:after="0" w:line="240" w:lineRule="auto"/>
      </w:pPr>
      <w:r>
        <w:separator/>
      </w:r>
    </w:p>
  </w:endnote>
  <w:endnote w:type="continuationSeparator" w:id="0">
    <w:p w:rsidR="003162F4" w:rsidRDefault="003162F4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F4" w:rsidRDefault="003162F4" w:rsidP="00BC749C">
      <w:pPr>
        <w:spacing w:after="0" w:line="240" w:lineRule="auto"/>
      </w:pPr>
      <w:r>
        <w:separator/>
      </w:r>
    </w:p>
  </w:footnote>
  <w:footnote w:type="continuationSeparator" w:id="0">
    <w:p w:rsidR="003162F4" w:rsidRDefault="003162F4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8091"/>
      <w:docPartObj>
        <w:docPartGallery w:val="Page Numbers (Top of Page)"/>
        <w:docPartUnique/>
      </w:docPartObj>
    </w:sdtPr>
    <w:sdtEndPr/>
    <w:sdtContent>
      <w:p w:rsidR="00BC749C" w:rsidRDefault="00BC749C" w:rsidP="00BC74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8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3"/>
    <w:rsid w:val="00186EC3"/>
    <w:rsid w:val="001D3284"/>
    <w:rsid w:val="003162F4"/>
    <w:rsid w:val="003D4D04"/>
    <w:rsid w:val="0043301D"/>
    <w:rsid w:val="005F5189"/>
    <w:rsid w:val="00640B17"/>
    <w:rsid w:val="007E1ED0"/>
    <w:rsid w:val="008D1B06"/>
    <w:rsid w:val="00B2593E"/>
    <w:rsid w:val="00BC749C"/>
    <w:rsid w:val="00DF225F"/>
    <w:rsid w:val="00E2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86E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86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C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49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C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49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86E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86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C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49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C7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49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cp:lastPrinted>2015-12-15T02:53:00Z</cp:lastPrinted>
  <dcterms:created xsi:type="dcterms:W3CDTF">2015-11-25T01:43:00Z</dcterms:created>
  <dcterms:modified xsi:type="dcterms:W3CDTF">2015-12-15T02:53:00Z</dcterms:modified>
</cp:coreProperties>
</file>