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B76" w:rsidRDefault="000E0B76">
      <w:pPr>
        <w:widowControl w:val="0"/>
        <w:autoSpaceDE w:val="0"/>
        <w:autoSpaceDN w:val="0"/>
        <w:adjustRightInd w:val="0"/>
        <w:spacing w:after="0" w:line="240" w:lineRule="auto"/>
        <w:jc w:val="right"/>
        <w:rPr>
          <w:rFonts w:ascii="Calibri" w:hAnsi="Calibri" w:cs="Calibri"/>
        </w:rPr>
      </w:pPr>
      <w:bookmarkStart w:id="0" w:name="_GoBack"/>
      <w:bookmarkEnd w:id="0"/>
      <w:r>
        <w:rPr>
          <w:rFonts w:ascii="Calibri" w:hAnsi="Calibri" w:cs="Calibri"/>
        </w:rPr>
        <w:t>Официальный перевод на русский язык</w:t>
      </w:r>
    </w:p>
    <w:p w:rsidR="000E0B76" w:rsidRDefault="000E0B76">
      <w:pPr>
        <w:widowControl w:val="0"/>
        <w:autoSpaceDE w:val="0"/>
        <w:autoSpaceDN w:val="0"/>
        <w:adjustRightInd w:val="0"/>
        <w:spacing w:after="0" w:line="240" w:lineRule="auto"/>
        <w:jc w:val="right"/>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КОНВЕНЦИЯ</w:t>
      </w:r>
    </w:p>
    <w:p w:rsidR="000E0B76" w:rsidRDefault="000E0B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января 1999 года</w:t>
      </w:r>
    </w:p>
    <w:p w:rsidR="000E0B76" w:rsidRDefault="000E0B76">
      <w:pPr>
        <w:widowControl w:val="0"/>
        <w:autoSpaceDE w:val="0"/>
        <w:autoSpaceDN w:val="0"/>
        <w:adjustRightInd w:val="0"/>
        <w:spacing w:after="0" w:line="240" w:lineRule="auto"/>
        <w:jc w:val="center"/>
        <w:rPr>
          <w:rFonts w:ascii="Calibri" w:hAnsi="Calibri" w:cs="Calibri"/>
          <w:b/>
          <w:bCs/>
        </w:rPr>
      </w:pPr>
    </w:p>
    <w:p w:rsidR="000E0B76" w:rsidRDefault="000E0B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УГОЛОВНОЙ ОТВЕТСТВЕННОСТИ ЗА КОРРУПЦИЮ</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0"/>
        <w:rPr>
          <w:rFonts w:ascii="Calibri" w:hAnsi="Calibri" w:cs="Calibri"/>
        </w:rPr>
      </w:pPr>
      <w:bookmarkStart w:id="1" w:name="Par8"/>
      <w:bookmarkEnd w:id="1"/>
      <w:r>
        <w:rPr>
          <w:rFonts w:ascii="Calibri" w:hAnsi="Calibri" w:cs="Calibri"/>
        </w:rPr>
        <w:t>ПРЕАМБУЛА</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члены Совета Европы и другие государства, подписавшие настоящую Конвенцию,</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считая, что цель Совета Европы заключается в достижении большего единства между его членами,</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признавая важность укрепления сотрудничества с другими государствами, подписавшими настоящую Конвенцию,</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напоминая далее, что в резолюции N 1, принятой европейскими министрами юстиции на своей 21-й конференции (Прага, 1997 год),</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 являющихся членами Совета,</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 связывающими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w:t>
      </w:r>
      <w:r>
        <w:rPr>
          <w:rFonts w:ascii="Calibri" w:hAnsi="Calibri" w:cs="Calibri"/>
        </w:rPr>
        <w:lastRenderedPageBreak/>
        <w:t>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договорились о нижеследующем:</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0"/>
        <w:rPr>
          <w:rFonts w:ascii="Calibri" w:hAnsi="Calibri" w:cs="Calibri"/>
        </w:rPr>
      </w:pPr>
      <w:bookmarkStart w:id="2" w:name="Par26"/>
      <w:bookmarkEnd w:id="2"/>
      <w:r>
        <w:rPr>
          <w:rFonts w:ascii="Calibri" w:hAnsi="Calibri" w:cs="Calibri"/>
        </w:rPr>
        <w:t>Глава I</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Использование терминов</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3" w:name="Par30"/>
      <w:bookmarkEnd w:id="3"/>
      <w:r>
        <w:rPr>
          <w:rFonts w:ascii="Calibri" w:hAnsi="Calibri" w:cs="Calibri"/>
        </w:rPr>
        <w:t>Статья 1</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Использование терминов. Определения</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настоящей Конвенции:</w:t>
      </w: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4" w:name="Par35"/>
      <w:bookmarkEnd w:id="4"/>
      <w:r>
        <w:rPr>
          <w:rFonts w:ascii="Calibri" w:hAnsi="Calibri" w:cs="Calibri"/>
        </w:rPr>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термин "судья", упомянутый в </w:t>
      </w:r>
      <w:hyperlink w:anchor="Par35" w:history="1">
        <w:r>
          <w:rPr>
            <w:rFonts w:ascii="Calibri" w:hAnsi="Calibri" w:cs="Calibri"/>
            <w:color w:val="0000FF"/>
          </w:rPr>
          <w:t>подпункте "a"</w:t>
        </w:r>
      </w:hyperlink>
      <w:r>
        <w:rPr>
          <w:rFonts w:ascii="Calibri" w:hAnsi="Calibri" w:cs="Calibri"/>
        </w:rPr>
        <w:t xml:space="preserve"> выше, включает прокуроров и лиц, занимающих судебные должности;</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0"/>
        <w:rPr>
          <w:rFonts w:ascii="Calibri" w:hAnsi="Calibri" w:cs="Calibri"/>
        </w:rPr>
      </w:pPr>
      <w:bookmarkStart w:id="5" w:name="Par40"/>
      <w:bookmarkEnd w:id="5"/>
      <w:r>
        <w:rPr>
          <w:rFonts w:ascii="Calibri" w:hAnsi="Calibri" w:cs="Calibri"/>
        </w:rPr>
        <w:t>Глава II</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Меры, которые должны быть приняты на национальном уровне</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6" w:name="Par44"/>
      <w:bookmarkEnd w:id="6"/>
      <w:r>
        <w:rPr>
          <w:rFonts w:ascii="Calibri" w:hAnsi="Calibri" w:cs="Calibri"/>
        </w:rPr>
        <w:t>Статья 2</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Активный подкуп национальных публичных должностных лиц</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тем чтобы это публичное должностное лицо совершило действия или воздержалось от их совершения при осуществлении своих функций.</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7" w:name="Par50"/>
      <w:bookmarkEnd w:id="7"/>
      <w:r>
        <w:rPr>
          <w:rFonts w:ascii="Calibri" w:hAnsi="Calibri" w:cs="Calibri"/>
        </w:rPr>
        <w:t>Статья 3</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Пассивный подкуп национальных публичных должностных лиц</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испрашивание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 это должностное лицо совершило действия или воздержалось от их совершения при осуществлении своих функций.</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8" w:name="Par56"/>
      <w:bookmarkEnd w:id="8"/>
      <w:r>
        <w:rPr>
          <w:rFonts w:ascii="Calibri" w:hAnsi="Calibri" w:cs="Calibri"/>
        </w:rPr>
        <w:t>Статья 4</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Подкуп членов национальных публичных собраний</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history="1">
        <w:r>
          <w:rPr>
            <w:rFonts w:ascii="Calibri" w:hAnsi="Calibri" w:cs="Calibri"/>
            <w:color w:val="0000FF"/>
          </w:rPr>
          <w:t>статьях 2</w:t>
        </w:r>
      </w:hyperlink>
      <w:r>
        <w:rPr>
          <w:rFonts w:ascii="Calibri" w:hAnsi="Calibri" w:cs="Calibri"/>
        </w:rPr>
        <w:t xml:space="preserve"> и </w:t>
      </w:r>
      <w:hyperlink w:anchor="Par50" w:history="1">
        <w:r>
          <w:rPr>
            <w:rFonts w:ascii="Calibri" w:hAnsi="Calibri" w:cs="Calibri"/>
            <w:color w:val="0000FF"/>
          </w:rPr>
          <w:t>3</w:t>
        </w:r>
      </w:hyperlink>
      <w:r>
        <w:rPr>
          <w:rFonts w:ascii="Calibri" w:hAnsi="Calibri" w:cs="Calibri"/>
        </w:rP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9" w:name="Par62"/>
      <w:bookmarkEnd w:id="9"/>
      <w:r>
        <w:rPr>
          <w:rFonts w:ascii="Calibri" w:hAnsi="Calibri" w:cs="Calibri"/>
        </w:rPr>
        <w:t>Статья 5</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Подкуп иностранных публичных должностных лиц</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history="1">
        <w:r>
          <w:rPr>
            <w:rFonts w:ascii="Calibri" w:hAnsi="Calibri" w:cs="Calibri"/>
            <w:color w:val="0000FF"/>
          </w:rPr>
          <w:t>статьях 2</w:t>
        </w:r>
      </w:hyperlink>
      <w:r>
        <w:rPr>
          <w:rFonts w:ascii="Calibri" w:hAnsi="Calibri" w:cs="Calibri"/>
        </w:rPr>
        <w:t xml:space="preserve"> и </w:t>
      </w:r>
      <w:hyperlink w:anchor="Par50" w:history="1">
        <w:r>
          <w:rPr>
            <w:rFonts w:ascii="Calibri" w:hAnsi="Calibri" w:cs="Calibri"/>
            <w:color w:val="0000FF"/>
          </w:rPr>
          <w:t>3</w:t>
        </w:r>
      </w:hyperlink>
      <w:r>
        <w:rPr>
          <w:rFonts w:ascii="Calibri" w:hAnsi="Calibri" w:cs="Calibri"/>
        </w:rPr>
        <w:t>, в том случае, когда это касается публичного должностного лица какого-либо другого государства.</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10" w:name="Par68"/>
      <w:bookmarkEnd w:id="10"/>
      <w:r>
        <w:rPr>
          <w:rFonts w:ascii="Calibri" w:hAnsi="Calibri" w:cs="Calibri"/>
        </w:rPr>
        <w:t>Статья 6</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Подкуп членов иностранных публичных собраний</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history="1">
        <w:r>
          <w:rPr>
            <w:rFonts w:ascii="Calibri" w:hAnsi="Calibri" w:cs="Calibri"/>
            <w:color w:val="0000FF"/>
          </w:rPr>
          <w:t>статьях 2</w:t>
        </w:r>
      </w:hyperlink>
      <w:r>
        <w:rPr>
          <w:rFonts w:ascii="Calibri" w:hAnsi="Calibri" w:cs="Calibri"/>
        </w:rPr>
        <w:t xml:space="preserve"> и </w:t>
      </w:r>
      <w:hyperlink w:anchor="Par50" w:history="1">
        <w:r>
          <w:rPr>
            <w:rFonts w:ascii="Calibri" w:hAnsi="Calibri" w:cs="Calibri"/>
            <w:color w:val="0000FF"/>
          </w:rPr>
          <w:t>3</w:t>
        </w:r>
      </w:hyperlink>
      <w:r>
        <w:rPr>
          <w:rFonts w:ascii="Calibri" w:hAnsi="Calibri" w:cs="Calibri"/>
        </w:rP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11" w:name="Par74"/>
      <w:bookmarkEnd w:id="11"/>
      <w:r>
        <w:rPr>
          <w:rFonts w:ascii="Calibri" w:hAnsi="Calibri" w:cs="Calibri"/>
        </w:rPr>
        <w:t>Статья 7</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Активный подкуп в частном секторе</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 лиц или любых других лиц, с тем чтобы эти лица совершили действия или воздержались от их совершения в нарушение своих обязанностей.</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12" w:name="Par80"/>
      <w:bookmarkEnd w:id="12"/>
      <w:r>
        <w:rPr>
          <w:rFonts w:ascii="Calibri" w:hAnsi="Calibri" w:cs="Calibri"/>
        </w:rPr>
        <w:t>Статья 8</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Пассивный подкуп в частном секторе</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испрашивание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 самих себя или для любых других лиц, или же принятие предложения или обещания такого преимущества за совершение или несовершение каких-либо действий в нарушение своих обязанностей.</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13" w:name="Par86"/>
      <w:bookmarkEnd w:id="13"/>
      <w:r>
        <w:rPr>
          <w:rFonts w:ascii="Calibri" w:hAnsi="Calibri" w:cs="Calibri"/>
        </w:rPr>
        <w:t>Статья 9</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Подкуп должностных лиц международных организаций</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history="1">
        <w:r>
          <w:rPr>
            <w:rFonts w:ascii="Calibri" w:hAnsi="Calibri" w:cs="Calibri"/>
            <w:color w:val="0000FF"/>
          </w:rPr>
          <w:t>статьях 2</w:t>
        </w:r>
      </w:hyperlink>
      <w:r>
        <w:rPr>
          <w:rFonts w:ascii="Calibri" w:hAnsi="Calibri" w:cs="Calibri"/>
        </w:rPr>
        <w:t xml:space="preserve"> и </w:t>
      </w:r>
      <w:hyperlink w:anchor="Par50" w:history="1">
        <w:r>
          <w:rPr>
            <w:rFonts w:ascii="Calibri" w:hAnsi="Calibri" w:cs="Calibri"/>
            <w:color w:val="0000FF"/>
          </w:rPr>
          <w:t>3</w:t>
        </w:r>
      </w:hyperlink>
      <w:r>
        <w:rPr>
          <w:rFonts w:ascii="Calibri" w:hAnsi="Calibri" w:cs="Calibri"/>
        </w:rP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14" w:name="Par92"/>
      <w:bookmarkEnd w:id="14"/>
      <w:r>
        <w:rPr>
          <w:rFonts w:ascii="Calibri" w:hAnsi="Calibri" w:cs="Calibri"/>
        </w:rPr>
        <w:t>Статья 10</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Подкуп членов международных парламентских собраний</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56" w:history="1">
        <w:r>
          <w:rPr>
            <w:rFonts w:ascii="Calibri" w:hAnsi="Calibri" w:cs="Calibri"/>
            <w:color w:val="0000FF"/>
          </w:rPr>
          <w:t>статье 4</w:t>
        </w:r>
      </w:hyperlink>
      <w:r>
        <w:rPr>
          <w:rFonts w:ascii="Calibri" w:hAnsi="Calibri" w:cs="Calibri"/>
        </w:rPr>
        <w:t>, когда это касается каких-либо членов парламентских собраний международных или наднациональных организаций, членом которых является эта Сторона.</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15" w:name="Par98"/>
      <w:bookmarkEnd w:id="15"/>
      <w:r>
        <w:rPr>
          <w:rFonts w:ascii="Calibri" w:hAnsi="Calibri" w:cs="Calibri"/>
        </w:rPr>
        <w:t>Статья 11</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Подкуп судей и должностных лиц международных судов</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history="1">
        <w:r>
          <w:rPr>
            <w:rFonts w:ascii="Calibri" w:hAnsi="Calibri" w:cs="Calibri"/>
            <w:color w:val="0000FF"/>
          </w:rPr>
          <w:t>статьях 2</w:t>
        </w:r>
      </w:hyperlink>
      <w:r>
        <w:rPr>
          <w:rFonts w:ascii="Calibri" w:hAnsi="Calibri" w:cs="Calibri"/>
        </w:rPr>
        <w:t xml:space="preserve"> и </w:t>
      </w:r>
      <w:hyperlink w:anchor="Par50" w:history="1">
        <w:r>
          <w:rPr>
            <w:rFonts w:ascii="Calibri" w:hAnsi="Calibri" w:cs="Calibri"/>
            <w:color w:val="0000FF"/>
          </w:rPr>
          <w:t>3</w:t>
        </w:r>
      </w:hyperlink>
      <w:r>
        <w:rPr>
          <w:rFonts w:ascii="Calibri" w:hAnsi="Calibri" w:cs="Calibri"/>
        </w:rP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16" w:name="Par104"/>
      <w:bookmarkEnd w:id="16"/>
      <w:r>
        <w:rPr>
          <w:rFonts w:ascii="Calibri" w:hAnsi="Calibri" w:cs="Calibri"/>
        </w:rPr>
        <w:t>Статья 12</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Злоупотребление влиянием в корыстных целях</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Par44" w:history="1">
        <w:r>
          <w:rPr>
            <w:rFonts w:ascii="Calibri" w:hAnsi="Calibri" w:cs="Calibri"/>
            <w:color w:val="0000FF"/>
          </w:rPr>
          <w:t>статьях 2</w:t>
        </w:r>
      </w:hyperlink>
      <w:r>
        <w:rPr>
          <w:rFonts w:ascii="Calibri" w:hAnsi="Calibri" w:cs="Calibri"/>
        </w:rPr>
        <w:t xml:space="preserve">, </w:t>
      </w:r>
      <w:hyperlink w:anchor="Par56" w:history="1">
        <w:r>
          <w:rPr>
            <w:rFonts w:ascii="Calibri" w:hAnsi="Calibri" w:cs="Calibri"/>
            <w:color w:val="0000FF"/>
          </w:rPr>
          <w:t>4</w:t>
        </w:r>
      </w:hyperlink>
      <w:r>
        <w:rPr>
          <w:rFonts w:ascii="Calibri" w:hAnsi="Calibri" w:cs="Calibri"/>
        </w:rPr>
        <w:t xml:space="preserve"> - </w:t>
      </w:r>
      <w:hyperlink w:anchor="Par68" w:history="1">
        <w:r>
          <w:rPr>
            <w:rFonts w:ascii="Calibri" w:hAnsi="Calibri" w:cs="Calibri"/>
            <w:color w:val="0000FF"/>
          </w:rPr>
          <w:t>6</w:t>
        </w:r>
      </w:hyperlink>
      <w:r>
        <w:rPr>
          <w:rFonts w:ascii="Calibri" w:hAnsi="Calibri" w:cs="Calibri"/>
        </w:rPr>
        <w:t xml:space="preserve"> и </w:t>
      </w:r>
      <w:hyperlink w:anchor="Par86" w:history="1">
        <w:r>
          <w:rPr>
            <w:rFonts w:ascii="Calibri" w:hAnsi="Calibri" w:cs="Calibri"/>
            <w:color w:val="0000FF"/>
          </w:rPr>
          <w:t>9</w:t>
        </w:r>
      </w:hyperlink>
      <w:r>
        <w:rPr>
          <w:rFonts w:ascii="Calibri" w:hAnsi="Calibri" w:cs="Calibri"/>
        </w:rPr>
        <w:t xml:space="preserve"> - </w:t>
      </w:r>
      <w:hyperlink w:anchor="Par98" w:history="1">
        <w:r>
          <w:rPr>
            <w:rFonts w:ascii="Calibri" w:hAnsi="Calibri" w:cs="Calibri"/>
            <w:color w:val="0000FF"/>
          </w:rPr>
          <w:t>11</w:t>
        </w:r>
      </w:hyperlink>
      <w:r>
        <w:rPr>
          <w:rFonts w:ascii="Calibri" w:hAnsi="Calibri" w:cs="Calibri"/>
        </w:rPr>
        <w:t xml:space="preserve">,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w:t>
      </w:r>
      <w:r>
        <w:rPr>
          <w:rFonts w:ascii="Calibri" w:hAnsi="Calibri" w:cs="Calibri"/>
        </w:rPr>
        <w:lastRenderedPageBreak/>
        <w:t>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17" w:name="Par110"/>
      <w:bookmarkEnd w:id="17"/>
      <w:r>
        <w:rPr>
          <w:rFonts w:ascii="Calibri" w:hAnsi="Calibri" w:cs="Calibri"/>
        </w:rPr>
        <w:t>Статья 13</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Отмывание доходов от преступлений, связанных с коррупцией</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4" w:history="1">
        <w:r>
          <w:rPr>
            <w:rFonts w:ascii="Calibri" w:hAnsi="Calibri" w:cs="Calibri"/>
            <w:color w:val="0000FF"/>
          </w:rPr>
          <w:t>пунктах 1</w:t>
        </w:r>
      </w:hyperlink>
      <w:r>
        <w:rPr>
          <w:rFonts w:ascii="Calibri" w:hAnsi="Calibri" w:cs="Calibri"/>
        </w:rPr>
        <w:t xml:space="preserve"> и </w:t>
      </w:r>
      <w:hyperlink r:id="rId5" w:history="1">
        <w:r>
          <w:rPr>
            <w:rFonts w:ascii="Calibri" w:hAnsi="Calibri" w:cs="Calibri"/>
            <w:color w:val="0000FF"/>
          </w:rPr>
          <w:t>2 статьи 6</w:t>
        </w:r>
      </w:hyperlink>
      <w:r>
        <w:rPr>
          <w:rFonts w:ascii="Calibri" w:hAnsi="Calibri" w:cs="Calibri"/>
        </w:rP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ar44" w:history="1">
        <w:r>
          <w:rPr>
            <w:rFonts w:ascii="Calibri" w:hAnsi="Calibri" w:cs="Calibri"/>
            <w:color w:val="0000FF"/>
          </w:rPr>
          <w:t>статьями 2</w:t>
        </w:r>
      </w:hyperlink>
      <w:r>
        <w:rPr>
          <w:rFonts w:ascii="Calibri" w:hAnsi="Calibri" w:cs="Calibri"/>
        </w:rPr>
        <w:t xml:space="preserve"> - </w:t>
      </w:r>
      <w:hyperlink w:anchor="Par104" w:history="1">
        <w:r>
          <w:rPr>
            <w:rFonts w:ascii="Calibri" w:hAnsi="Calibri" w:cs="Calibri"/>
            <w:color w:val="0000FF"/>
          </w:rPr>
          <w:t>12</w:t>
        </w:r>
      </w:hyperlink>
      <w:r>
        <w:rPr>
          <w:rFonts w:ascii="Calibri" w:hAnsi="Calibri" w:cs="Calibri"/>
        </w:rP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18" w:name="Par116"/>
      <w:bookmarkEnd w:id="18"/>
      <w:r>
        <w:rPr>
          <w:rFonts w:ascii="Calibri" w:hAnsi="Calibri" w:cs="Calibri"/>
        </w:rPr>
        <w:t>Статья 14</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Правонарушения в сфере бухгалтерского учета</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ar44" w:history="1">
        <w:r>
          <w:rPr>
            <w:rFonts w:ascii="Calibri" w:hAnsi="Calibri" w:cs="Calibri"/>
            <w:color w:val="0000FF"/>
          </w:rPr>
          <w:t>статьях 2</w:t>
        </w:r>
      </w:hyperlink>
      <w:r>
        <w:rPr>
          <w:rFonts w:ascii="Calibri" w:hAnsi="Calibri" w:cs="Calibri"/>
        </w:rPr>
        <w:t xml:space="preserve"> - </w:t>
      </w:r>
      <w:hyperlink w:anchor="Par104" w:history="1">
        <w:r>
          <w:rPr>
            <w:rFonts w:ascii="Calibri" w:hAnsi="Calibri" w:cs="Calibri"/>
            <w:color w:val="0000FF"/>
          </w:rPr>
          <w:t>12</w:t>
        </w:r>
      </w:hyperlink>
      <w:r>
        <w:rPr>
          <w:rFonts w:ascii="Calibri" w:hAnsi="Calibri" w:cs="Calibri"/>
        </w:rPr>
        <w:t>, если только Сторона не сделала соответствующую оговорку или заявление:</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противоправное невнесение в бухгалтерские книги сведений о платежных операциях.</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19" w:name="Par124"/>
      <w:bookmarkEnd w:id="19"/>
      <w:r>
        <w:rPr>
          <w:rFonts w:ascii="Calibri" w:hAnsi="Calibri" w:cs="Calibri"/>
        </w:rPr>
        <w:t>Статья 15</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Соучастие</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20" w:name="Par130"/>
      <w:bookmarkEnd w:id="20"/>
      <w:r>
        <w:rPr>
          <w:rFonts w:ascii="Calibri" w:hAnsi="Calibri" w:cs="Calibri"/>
        </w:rPr>
        <w:t>Статья 16</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Иммунитет</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21" w:name="Par136"/>
      <w:bookmarkEnd w:id="21"/>
      <w:r>
        <w:rPr>
          <w:rFonts w:ascii="Calibri" w:hAnsi="Calibri" w:cs="Calibri"/>
        </w:rPr>
        <w:t>Статья 17</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Юрисдикция</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Каждая Сторона принимает такие законодательные и иные меры, которые могут </w:t>
      </w:r>
      <w:r>
        <w:rPr>
          <w:rFonts w:ascii="Calibri" w:hAnsi="Calibri" w:cs="Calibri"/>
        </w:rPr>
        <w:lastRenderedPageBreak/>
        <w:t xml:space="preserve">потребоваться для установления юрисдикции в отношении уголовного правонарушения, признанного в качестве такового в соответствии со </w:t>
      </w:r>
      <w:hyperlink w:anchor="Par44" w:history="1">
        <w:r>
          <w:rPr>
            <w:rFonts w:ascii="Calibri" w:hAnsi="Calibri" w:cs="Calibri"/>
            <w:color w:val="0000FF"/>
          </w:rPr>
          <w:t>статьями 2</w:t>
        </w:r>
      </w:hyperlink>
      <w:r>
        <w:rPr>
          <w:rFonts w:ascii="Calibri" w:hAnsi="Calibri" w:cs="Calibri"/>
        </w:rPr>
        <w:t xml:space="preserve"> - </w:t>
      </w:r>
      <w:hyperlink w:anchor="Par116" w:history="1">
        <w:r>
          <w:rPr>
            <w:rFonts w:ascii="Calibri" w:hAnsi="Calibri" w:cs="Calibri"/>
            <w:color w:val="0000FF"/>
          </w:rPr>
          <w:t>14</w:t>
        </w:r>
      </w:hyperlink>
      <w:r>
        <w:rPr>
          <w:rFonts w:ascii="Calibri" w:hAnsi="Calibri" w:cs="Calibri"/>
        </w:rPr>
        <w:t xml:space="preserve"> настоящей Конвенции, в случаях, когда:</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преступление совершено полностью или частично на ее территории;</w:t>
      </w: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22" w:name="Par142"/>
      <w:bookmarkEnd w:id="22"/>
      <w:r>
        <w:rPr>
          <w:rFonts w:ascii="Calibri" w:hAnsi="Calibri" w:cs="Calibri"/>
        </w:rPr>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23" w:name="Par143"/>
      <w:bookmarkEnd w:id="23"/>
      <w:r>
        <w:rPr>
          <w:rFonts w:ascii="Calibri" w:hAnsi="Calibri" w:cs="Calibri"/>
        </w:rP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ar86" w:history="1">
        <w:r>
          <w:rPr>
            <w:rFonts w:ascii="Calibri" w:hAnsi="Calibri" w:cs="Calibri"/>
            <w:color w:val="0000FF"/>
          </w:rPr>
          <w:t>статьях 9</w:t>
        </w:r>
      </w:hyperlink>
      <w:r>
        <w:rPr>
          <w:rFonts w:ascii="Calibri" w:hAnsi="Calibri" w:cs="Calibri"/>
        </w:rPr>
        <w:t xml:space="preserve"> - </w:t>
      </w:r>
      <w:hyperlink w:anchor="Par98" w:history="1">
        <w:r>
          <w:rPr>
            <w:rFonts w:ascii="Calibri" w:hAnsi="Calibri" w:cs="Calibri"/>
            <w:color w:val="0000FF"/>
          </w:rPr>
          <w:t>11</w:t>
        </w:r>
      </w:hyperlink>
      <w:r>
        <w:rPr>
          <w:rFonts w:ascii="Calibri" w:hAnsi="Calibri" w:cs="Calibri"/>
        </w:rPr>
        <w:t>, которое при этом является одним из ее граждан.</w:t>
      </w: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24" w:name="Par144"/>
      <w:bookmarkEnd w:id="24"/>
      <w:r>
        <w:rPr>
          <w:rFonts w:ascii="Calibri" w:hAnsi="Calibri" w:cs="Calibri"/>
        </w:rPr>
        <w:t xml:space="preserve">2. 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ar142" w:history="1">
        <w:r>
          <w:rPr>
            <w:rFonts w:ascii="Calibri" w:hAnsi="Calibri" w:cs="Calibri"/>
            <w:color w:val="0000FF"/>
          </w:rPr>
          <w:t>подпунктах "b"</w:t>
        </w:r>
      </w:hyperlink>
      <w:r>
        <w:rPr>
          <w:rFonts w:ascii="Calibri" w:hAnsi="Calibri" w:cs="Calibri"/>
        </w:rPr>
        <w:t xml:space="preserve"> и </w:t>
      </w:r>
      <w:hyperlink w:anchor="Par143" w:history="1">
        <w:r>
          <w:rPr>
            <w:rFonts w:ascii="Calibri" w:hAnsi="Calibri" w:cs="Calibri"/>
            <w:color w:val="0000FF"/>
          </w:rPr>
          <w:t>"c" пункта 1 настоящей статьи</w:t>
        </w:r>
      </w:hyperlink>
      <w:r>
        <w:rPr>
          <w:rFonts w:ascii="Calibri" w:hAnsi="Calibri" w:cs="Calibri"/>
        </w:rPr>
        <w:t xml:space="preserve"> или любой ее части.</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Сторона использует право на оговорку, предусмотренное </w:t>
      </w:r>
      <w:hyperlink w:anchor="Par144" w:history="1">
        <w:r>
          <w:rPr>
            <w:rFonts w:ascii="Calibri" w:hAnsi="Calibri" w:cs="Calibri"/>
            <w:color w:val="0000FF"/>
          </w:rPr>
          <w:t>пунктом 2 настоящей статьи</w:t>
        </w:r>
      </w:hyperlink>
      <w:r>
        <w:rPr>
          <w:rFonts w:ascii="Calibri" w:hAnsi="Calibri" w:cs="Calibri"/>
        </w:rP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 его выдаче.</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Настоящая Конвенция не исключает возможность осуществления Стороной любой уголовной юрисдикции в соответствии с ее внутренним правом.</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25" w:name="Par148"/>
      <w:bookmarkEnd w:id="25"/>
      <w:r>
        <w:rPr>
          <w:rFonts w:ascii="Calibri" w:hAnsi="Calibri" w:cs="Calibri"/>
        </w:rPr>
        <w:t>Статья 18</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Ответственность юридических лиц</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26" w:name="Par152"/>
      <w:bookmarkEnd w:id="26"/>
      <w:r>
        <w:rPr>
          <w:rFonts w:ascii="Calibri" w:hAnsi="Calibri" w:cs="Calibri"/>
        </w:rPr>
        <w:t>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выполнения представительских функций от имени юридического лица; или</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права на принятие решений от имени юридического лица; или</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контрольных функций в рамках юридического лица;</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также в связи с участием такого физического лица в вышеупомянутых правонарушениях в качестве соучастника или подстрекателя.</w:t>
      </w: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27" w:name="Par157"/>
      <w:bookmarkEnd w:id="27"/>
      <w:r>
        <w:rPr>
          <w:rFonts w:ascii="Calibri" w:hAnsi="Calibri" w:cs="Calibri"/>
        </w:rPr>
        <w:t xml:space="preserve">2. Помимо случаев, уже предусмотренных </w:t>
      </w:r>
      <w:hyperlink w:anchor="Par152" w:history="1">
        <w:r>
          <w:rPr>
            <w:rFonts w:ascii="Calibri" w:hAnsi="Calibri" w:cs="Calibri"/>
            <w:color w:val="0000FF"/>
          </w:rPr>
          <w:t>пунктом 1</w:t>
        </w:r>
      </w:hyperlink>
      <w:r>
        <w:rPr>
          <w:rFonts w:ascii="Calibri" w:hAnsi="Calibri" w:cs="Calibri"/>
        </w:rP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Par152" w:history="1">
        <w:r>
          <w:rPr>
            <w:rFonts w:ascii="Calibri" w:hAnsi="Calibri" w:cs="Calibri"/>
            <w:color w:val="0000FF"/>
          </w:rPr>
          <w:t>пункте 1</w:t>
        </w:r>
      </w:hyperlink>
      <w:r>
        <w:rPr>
          <w:rFonts w:ascii="Calibri" w:hAnsi="Calibri" w:cs="Calibri"/>
        </w:rPr>
        <w:t xml:space="preserve">, появляется возможность совершения уголовных правонарушений, указанных в </w:t>
      </w:r>
      <w:hyperlink w:anchor="Par152" w:history="1">
        <w:r>
          <w:rPr>
            <w:rFonts w:ascii="Calibri" w:hAnsi="Calibri" w:cs="Calibri"/>
            <w:color w:val="0000FF"/>
          </w:rPr>
          <w:t>пункте 1</w:t>
        </w:r>
      </w:hyperlink>
      <w:r>
        <w:rPr>
          <w:rFonts w:ascii="Calibri" w:hAnsi="Calibri" w:cs="Calibri"/>
        </w:rPr>
        <w:t>, в интересах этого юридического лица физическим лицом, осуществляющим свои полномочия от его имени.</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Ответственность юридического лица в соответствии с </w:t>
      </w:r>
      <w:hyperlink w:anchor="Par152" w:history="1">
        <w:r>
          <w:rPr>
            <w:rFonts w:ascii="Calibri" w:hAnsi="Calibri" w:cs="Calibri"/>
            <w:color w:val="0000FF"/>
          </w:rPr>
          <w:t>пунктами 1</w:t>
        </w:r>
      </w:hyperlink>
      <w:r>
        <w:rPr>
          <w:rFonts w:ascii="Calibri" w:hAnsi="Calibri" w:cs="Calibri"/>
        </w:rPr>
        <w:t xml:space="preserve"> и </w:t>
      </w:r>
      <w:hyperlink w:anchor="Par157" w:history="1">
        <w:r>
          <w:rPr>
            <w:rFonts w:ascii="Calibri" w:hAnsi="Calibri" w:cs="Calibri"/>
            <w:color w:val="0000FF"/>
          </w:rPr>
          <w:t>2</w:t>
        </w:r>
      </w:hyperlink>
      <w:r>
        <w:rPr>
          <w:rFonts w:ascii="Calibri" w:hAnsi="Calibri" w:cs="Calibri"/>
        </w:rP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Par152" w:history="1">
        <w:r>
          <w:rPr>
            <w:rFonts w:ascii="Calibri" w:hAnsi="Calibri" w:cs="Calibri"/>
            <w:color w:val="0000FF"/>
          </w:rPr>
          <w:t>пункте 1</w:t>
        </w:r>
      </w:hyperlink>
      <w:r>
        <w:rPr>
          <w:rFonts w:ascii="Calibri" w:hAnsi="Calibri" w:cs="Calibri"/>
        </w:rPr>
        <w:t>.</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28" w:name="Par160"/>
      <w:bookmarkEnd w:id="28"/>
      <w:r>
        <w:rPr>
          <w:rFonts w:ascii="Calibri" w:hAnsi="Calibri" w:cs="Calibri"/>
        </w:rPr>
        <w:t>Статья 19</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Санкции и меры</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Принимая во внимание тяжесть уголовных правонарушений, признанных в качестве </w:t>
      </w:r>
      <w:r>
        <w:rPr>
          <w:rFonts w:ascii="Calibri" w:hAnsi="Calibri" w:cs="Calibri"/>
        </w:rPr>
        <w:lastRenderedPageBreak/>
        <w:t xml:space="preserve">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ar44" w:history="1">
        <w:r>
          <w:rPr>
            <w:rFonts w:ascii="Calibri" w:hAnsi="Calibri" w:cs="Calibri"/>
            <w:color w:val="0000FF"/>
          </w:rPr>
          <w:t>статьями 2</w:t>
        </w:r>
      </w:hyperlink>
      <w:r>
        <w:rPr>
          <w:rFonts w:ascii="Calibri" w:hAnsi="Calibri" w:cs="Calibri"/>
        </w:rPr>
        <w:t xml:space="preserve"> - </w:t>
      </w:r>
      <w:hyperlink w:anchor="Par116" w:history="1">
        <w:r>
          <w:rPr>
            <w:rFonts w:ascii="Calibri" w:hAnsi="Calibri" w:cs="Calibri"/>
            <w:color w:val="0000FF"/>
          </w:rPr>
          <w:t>14</w:t>
        </w:r>
      </w:hyperlink>
      <w:r>
        <w:rPr>
          <w:rFonts w:ascii="Calibri" w:hAnsi="Calibri" w:cs="Calibri"/>
        </w:rP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Каждая Сторона обеспечивает, чтобы в отношении юридических лиц, привлеченных к ответственности в соответствии с </w:t>
      </w:r>
      <w:hyperlink w:anchor="Par152" w:history="1">
        <w:r>
          <w:rPr>
            <w:rFonts w:ascii="Calibri" w:hAnsi="Calibri" w:cs="Calibri"/>
            <w:color w:val="0000FF"/>
          </w:rPr>
          <w:t>пунктами 1</w:t>
        </w:r>
      </w:hyperlink>
      <w:r>
        <w:rPr>
          <w:rFonts w:ascii="Calibri" w:hAnsi="Calibri" w:cs="Calibri"/>
        </w:rPr>
        <w:t xml:space="preserve"> и </w:t>
      </w:r>
      <w:hyperlink w:anchor="Par157" w:history="1">
        <w:r>
          <w:rPr>
            <w:rFonts w:ascii="Calibri" w:hAnsi="Calibri" w:cs="Calibri"/>
            <w:color w:val="0000FF"/>
          </w:rPr>
          <w:t>2 статьи 18</w:t>
        </w:r>
      </w:hyperlink>
      <w:r>
        <w:rPr>
          <w:rFonts w:ascii="Calibri" w:hAnsi="Calibri" w:cs="Calibri"/>
        </w:rPr>
        <w:t>, применялись эффективные, соразмерные и сдерживающие уголовные или неуголовные санкции, в том числе финансового характера.</w:t>
      </w: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29" w:name="Par166"/>
      <w:bookmarkEnd w:id="29"/>
      <w:r>
        <w:rPr>
          <w:rFonts w:ascii="Calibri" w:hAnsi="Calibri" w:cs="Calibri"/>
        </w:rPr>
        <w:t>3. Каждая Сторона принимает такие законодательные и иные меры, которые могут потребоваться для того, чтобы наделить себя правом конфисковывать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30" w:name="Par168"/>
      <w:bookmarkEnd w:id="30"/>
      <w:r>
        <w:rPr>
          <w:rFonts w:ascii="Calibri" w:hAnsi="Calibri" w:cs="Calibri"/>
        </w:rPr>
        <w:t>Статья 20</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Специальные полномочия</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тем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31" w:name="Par174"/>
      <w:bookmarkEnd w:id="31"/>
      <w:r>
        <w:rPr>
          <w:rFonts w:ascii="Calibri" w:hAnsi="Calibri" w:cs="Calibri"/>
        </w:rPr>
        <w:t>Статья 21</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Сотрудничество с национальными органами и между ними</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ar44" w:history="1">
        <w:r>
          <w:rPr>
            <w:rFonts w:ascii="Calibri" w:hAnsi="Calibri" w:cs="Calibri"/>
            <w:color w:val="0000FF"/>
          </w:rPr>
          <w:t>статьями 2</w:t>
        </w:r>
      </w:hyperlink>
      <w:r>
        <w:rPr>
          <w:rFonts w:ascii="Calibri" w:hAnsi="Calibri" w:cs="Calibri"/>
        </w:rPr>
        <w:t xml:space="preserve"> - </w:t>
      </w:r>
      <w:hyperlink w:anchor="Par116" w:history="1">
        <w:r>
          <w:rPr>
            <w:rFonts w:ascii="Calibri" w:hAnsi="Calibri" w:cs="Calibri"/>
            <w:color w:val="0000FF"/>
          </w:rPr>
          <w:t>14</w:t>
        </w:r>
      </w:hyperlink>
      <w:r>
        <w:rPr>
          <w:rFonts w:ascii="Calibri" w:hAnsi="Calibri" w:cs="Calibri"/>
        </w:rPr>
        <w:t>; или</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путем предоставления этим органам по их просьбе всей необходимой информации.</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32" w:name="Par182"/>
      <w:bookmarkEnd w:id="32"/>
      <w:r>
        <w:rPr>
          <w:rFonts w:ascii="Calibri" w:hAnsi="Calibri" w:cs="Calibri"/>
        </w:rPr>
        <w:t>Статья 22</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Защита лиц, сотрудничающих с правосудием, и свидетелей</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принимает такие меры, которые могут потребоваться для обеспечения эффективной и надлежащей защиты:</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тех, кто сообщает об уголовных правонарушениях, признанных в качестве таковых в соответствии со </w:t>
      </w:r>
      <w:hyperlink w:anchor="Par44" w:history="1">
        <w:r>
          <w:rPr>
            <w:rFonts w:ascii="Calibri" w:hAnsi="Calibri" w:cs="Calibri"/>
            <w:color w:val="0000FF"/>
          </w:rPr>
          <w:t>статьями 2</w:t>
        </w:r>
      </w:hyperlink>
      <w:r>
        <w:rPr>
          <w:rFonts w:ascii="Calibri" w:hAnsi="Calibri" w:cs="Calibri"/>
        </w:rPr>
        <w:t xml:space="preserve"> - </w:t>
      </w:r>
      <w:hyperlink w:anchor="Par116" w:history="1">
        <w:r>
          <w:rPr>
            <w:rFonts w:ascii="Calibri" w:hAnsi="Calibri" w:cs="Calibri"/>
            <w:color w:val="0000FF"/>
          </w:rPr>
          <w:t>14</w:t>
        </w:r>
      </w:hyperlink>
      <w:r>
        <w:rPr>
          <w:rFonts w:ascii="Calibri" w:hAnsi="Calibri" w:cs="Calibri"/>
        </w:rPr>
        <w:t xml:space="preserve"> или иным образом сотрудничает с органами, осуществляющими расследование и разбирательство;</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свидетелей, дающих показания, касающиеся таких правонарушений.</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33" w:name="Par190"/>
      <w:bookmarkEnd w:id="33"/>
      <w:r>
        <w:rPr>
          <w:rFonts w:ascii="Calibri" w:hAnsi="Calibri" w:cs="Calibri"/>
        </w:rPr>
        <w:t>Статья 23</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Меры по содействию сбору доказательств и конфискации доходов</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34" w:name="Par194"/>
      <w:bookmarkEnd w:id="34"/>
      <w:r>
        <w:rPr>
          <w:rFonts w:ascii="Calibri" w:hAnsi="Calibri" w:cs="Calibri"/>
        </w:rPr>
        <w:t xml:space="preserve">1. 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ar44" w:history="1">
        <w:r>
          <w:rPr>
            <w:rFonts w:ascii="Calibri" w:hAnsi="Calibri" w:cs="Calibri"/>
            <w:color w:val="0000FF"/>
          </w:rPr>
          <w:t>статьями 2</w:t>
        </w:r>
      </w:hyperlink>
      <w:r>
        <w:rPr>
          <w:rFonts w:ascii="Calibri" w:hAnsi="Calibri" w:cs="Calibri"/>
        </w:rPr>
        <w:t xml:space="preserve"> - </w:t>
      </w:r>
      <w:hyperlink w:anchor="Par116" w:history="1">
        <w:r>
          <w:rPr>
            <w:rFonts w:ascii="Calibri" w:hAnsi="Calibri" w:cs="Calibri"/>
            <w:color w:val="0000FF"/>
          </w:rPr>
          <w:t>14</w:t>
        </w:r>
      </w:hyperlink>
      <w:r>
        <w:rPr>
          <w:rFonts w:ascii="Calibri" w:hAnsi="Calibri" w:cs="Calibri"/>
        </w:rPr>
        <w:t xml:space="preserve"> настоящей Конвенции, а также для выявления, розыска, наложения ареста и изъятия орудий преступлений и доходов от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ar166" w:history="1">
        <w:r>
          <w:rPr>
            <w:rFonts w:ascii="Calibri" w:hAnsi="Calibri" w:cs="Calibri"/>
            <w:color w:val="0000FF"/>
          </w:rPr>
          <w:t>пунктом 3 статьи 19</w:t>
        </w:r>
      </w:hyperlink>
      <w:r>
        <w:rPr>
          <w:rFonts w:ascii="Calibri" w:hAnsi="Calibri" w:cs="Calibri"/>
        </w:rPr>
        <w:t xml:space="preserve"> настоящей Конвенции.</w:t>
      </w: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35" w:name="Par195"/>
      <w:bookmarkEnd w:id="35"/>
      <w:r>
        <w:rPr>
          <w:rFonts w:ascii="Calibri" w:hAnsi="Calibri" w:cs="Calibri"/>
        </w:rP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ar194" w:history="1">
        <w:r>
          <w:rPr>
            <w:rFonts w:ascii="Calibri" w:hAnsi="Calibri" w:cs="Calibri"/>
            <w:color w:val="0000FF"/>
          </w:rPr>
          <w:t>пунктом 1 настоящей статьи</w:t>
        </w:r>
      </w:hyperlink>
      <w:r>
        <w:rPr>
          <w:rFonts w:ascii="Calibri" w:hAnsi="Calibri" w:cs="Calibri"/>
        </w:rPr>
        <w:t>.</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Банковская тайна не является препятствием для осуществления мер, предусмотренных </w:t>
      </w:r>
      <w:hyperlink w:anchor="Par194" w:history="1">
        <w:r>
          <w:rPr>
            <w:rFonts w:ascii="Calibri" w:hAnsi="Calibri" w:cs="Calibri"/>
            <w:color w:val="0000FF"/>
          </w:rPr>
          <w:t>пунктами 1</w:t>
        </w:r>
      </w:hyperlink>
      <w:r>
        <w:rPr>
          <w:rFonts w:ascii="Calibri" w:hAnsi="Calibri" w:cs="Calibri"/>
        </w:rPr>
        <w:t xml:space="preserve"> и </w:t>
      </w:r>
      <w:hyperlink w:anchor="Par195" w:history="1">
        <w:r>
          <w:rPr>
            <w:rFonts w:ascii="Calibri" w:hAnsi="Calibri" w:cs="Calibri"/>
            <w:color w:val="0000FF"/>
          </w:rPr>
          <w:t>2 настоящей статьи</w:t>
        </w:r>
      </w:hyperlink>
      <w:r>
        <w:rPr>
          <w:rFonts w:ascii="Calibri" w:hAnsi="Calibri" w:cs="Calibri"/>
        </w:rPr>
        <w:t>.</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0"/>
        <w:rPr>
          <w:rFonts w:ascii="Calibri" w:hAnsi="Calibri" w:cs="Calibri"/>
        </w:rPr>
      </w:pPr>
      <w:bookmarkStart w:id="36" w:name="Par198"/>
      <w:bookmarkEnd w:id="36"/>
      <w:r>
        <w:rPr>
          <w:rFonts w:ascii="Calibri" w:hAnsi="Calibri" w:cs="Calibri"/>
        </w:rPr>
        <w:t>Глава III</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Мониторинг выполнения</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37" w:name="Par202"/>
      <w:bookmarkEnd w:id="37"/>
      <w:r>
        <w:rPr>
          <w:rFonts w:ascii="Calibri" w:hAnsi="Calibri" w:cs="Calibri"/>
        </w:rPr>
        <w:t>Статья 24</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Мониторинг</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выполнения Договаривающимися Сторонами настоящей Конвенции осуществляется Группой государств против коррупции (ГРЕКО).</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0"/>
        <w:rPr>
          <w:rFonts w:ascii="Calibri" w:hAnsi="Calibri" w:cs="Calibri"/>
        </w:rPr>
      </w:pPr>
      <w:bookmarkStart w:id="38" w:name="Par208"/>
      <w:bookmarkEnd w:id="38"/>
      <w:r>
        <w:rPr>
          <w:rFonts w:ascii="Calibri" w:hAnsi="Calibri" w:cs="Calibri"/>
        </w:rPr>
        <w:t>Глава IV</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сотрудничество</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39" w:name="Par212"/>
      <w:bookmarkEnd w:id="39"/>
      <w:r>
        <w:rPr>
          <w:rFonts w:ascii="Calibri" w:hAnsi="Calibri" w:cs="Calibri"/>
        </w:rPr>
        <w:t>Статья 25</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Общие принципы и меры в области</w:t>
      </w: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международного сотрудничества</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40" w:name="Par217"/>
      <w:bookmarkEnd w:id="40"/>
      <w:r>
        <w:rPr>
          <w:rFonts w:ascii="Calibri" w:hAnsi="Calibri" w:cs="Calibri"/>
        </w:rPr>
        <w:t>1. 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отсутствия между Сторонами действующих международных документов или договоренностей, упомянутых в </w:t>
      </w:r>
      <w:hyperlink w:anchor="Par217" w:history="1">
        <w:r>
          <w:rPr>
            <w:rFonts w:ascii="Calibri" w:hAnsi="Calibri" w:cs="Calibri"/>
            <w:color w:val="0000FF"/>
          </w:rPr>
          <w:t>пункте 1</w:t>
        </w:r>
      </w:hyperlink>
      <w:r>
        <w:rPr>
          <w:rFonts w:ascii="Calibri" w:hAnsi="Calibri" w:cs="Calibri"/>
        </w:rPr>
        <w:t xml:space="preserve">, применяются </w:t>
      </w:r>
      <w:hyperlink w:anchor="Par221" w:history="1">
        <w:r>
          <w:rPr>
            <w:rFonts w:ascii="Calibri" w:hAnsi="Calibri" w:cs="Calibri"/>
            <w:color w:val="0000FF"/>
          </w:rPr>
          <w:t>статьи 26</w:t>
        </w:r>
      </w:hyperlink>
      <w:r>
        <w:rPr>
          <w:rFonts w:ascii="Calibri" w:hAnsi="Calibri" w:cs="Calibri"/>
        </w:rPr>
        <w:t xml:space="preserve"> - </w:t>
      </w:r>
      <w:hyperlink w:anchor="Par263" w:history="1">
        <w:r>
          <w:rPr>
            <w:rFonts w:ascii="Calibri" w:hAnsi="Calibri" w:cs="Calibri"/>
            <w:color w:val="0000FF"/>
          </w:rPr>
          <w:t>31</w:t>
        </w:r>
      </w:hyperlink>
      <w:r>
        <w:rPr>
          <w:rFonts w:ascii="Calibri" w:hAnsi="Calibri" w:cs="Calibri"/>
        </w:rPr>
        <w:t xml:space="preserve"> настоящей главы.</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221" w:history="1">
        <w:r>
          <w:rPr>
            <w:rFonts w:ascii="Calibri" w:hAnsi="Calibri" w:cs="Calibri"/>
            <w:color w:val="0000FF"/>
          </w:rPr>
          <w:t>Статьи 26</w:t>
        </w:r>
      </w:hyperlink>
      <w:r>
        <w:rPr>
          <w:rFonts w:ascii="Calibri" w:hAnsi="Calibri" w:cs="Calibri"/>
        </w:rPr>
        <w:t xml:space="preserve"> - </w:t>
      </w:r>
      <w:hyperlink w:anchor="Par263" w:history="1">
        <w:r>
          <w:rPr>
            <w:rFonts w:ascii="Calibri" w:hAnsi="Calibri" w:cs="Calibri"/>
            <w:color w:val="0000FF"/>
          </w:rPr>
          <w:t>31</w:t>
        </w:r>
      </w:hyperlink>
      <w:r>
        <w:rPr>
          <w:rFonts w:ascii="Calibri" w:hAnsi="Calibri" w:cs="Calibri"/>
        </w:rP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ar217" w:history="1">
        <w:r>
          <w:rPr>
            <w:rFonts w:ascii="Calibri" w:hAnsi="Calibri" w:cs="Calibri"/>
            <w:color w:val="0000FF"/>
          </w:rPr>
          <w:t>пункте 1</w:t>
        </w:r>
      </w:hyperlink>
      <w:r>
        <w:rPr>
          <w:rFonts w:ascii="Calibri" w:hAnsi="Calibri" w:cs="Calibri"/>
        </w:rPr>
        <w:t>.</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41" w:name="Par221"/>
      <w:bookmarkEnd w:id="41"/>
      <w:r>
        <w:rPr>
          <w:rFonts w:ascii="Calibri" w:hAnsi="Calibri" w:cs="Calibri"/>
        </w:rPr>
        <w:t>Статья 26</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Взаимная помощь</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42" w:name="Par225"/>
      <w:bookmarkEnd w:id="42"/>
      <w:r>
        <w:rPr>
          <w:rFonts w:ascii="Calibri" w:hAnsi="Calibri" w:cs="Calibri"/>
        </w:rPr>
        <w:t xml:space="preserve">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w:t>
      </w:r>
      <w:r>
        <w:rPr>
          <w:rFonts w:ascii="Calibri" w:hAnsi="Calibri" w:cs="Calibri"/>
        </w:rPr>
        <w:lastRenderedPageBreak/>
        <w:t>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 взаимной правовой помощи в соответствии с </w:t>
      </w:r>
      <w:hyperlink w:anchor="Par225" w:history="1">
        <w:r>
          <w:rPr>
            <w:rFonts w:ascii="Calibri" w:hAnsi="Calibri" w:cs="Calibri"/>
            <w:color w:val="0000FF"/>
          </w:rPr>
          <w:t>пунктом 1 настоящей статьи</w:t>
        </w:r>
      </w:hyperlink>
      <w:r>
        <w:rPr>
          <w:rFonts w:ascii="Calibri" w:hAnsi="Calibri" w:cs="Calibri"/>
        </w:rP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43" w:name="Par229"/>
      <w:bookmarkEnd w:id="43"/>
      <w:r>
        <w:rPr>
          <w:rFonts w:ascii="Calibri" w:hAnsi="Calibri" w:cs="Calibri"/>
        </w:rPr>
        <w:t>Статья 27</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Выдача</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 уведомляет запрашивающую Сторону о результатах такого расследования.</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44" w:name="Par239"/>
      <w:bookmarkEnd w:id="44"/>
      <w:r>
        <w:rPr>
          <w:rFonts w:ascii="Calibri" w:hAnsi="Calibri" w:cs="Calibri"/>
        </w:rPr>
        <w:t>Статья 28</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 предоставляемая по собственной инициативе</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 этой Стороной запроса в соответствии с настоящей главой.</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45" w:name="Par245"/>
      <w:bookmarkEnd w:id="45"/>
      <w:r>
        <w:rPr>
          <w:rFonts w:ascii="Calibri" w:hAnsi="Calibri" w:cs="Calibri"/>
        </w:rPr>
        <w:t>Статья 29</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Центральный орган</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46" w:name="Par249"/>
      <w:bookmarkEnd w:id="46"/>
      <w:r>
        <w:rPr>
          <w:rFonts w:ascii="Calibri" w:hAnsi="Calibri" w:cs="Calibri"/>
        </w:rPr>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ar249" w:history="1">
        <w:r>
          <w:rPr>
            <w:rFonts w:ascii="Calibri" w:hAnsi="Calibri" w:cs="Calibri"/>
            <w:color w:val="0000FF"/>
          </w:rPr>
          <w:t>пунктом 1</w:t>
        </w:r>
      </w:hyperlink>
      <w:r>
        <w:rPr>
          <w:rFonts w:ascii="Calibri" w:hAnsi="Calibri" w:cs="Calibri"/>
        </w:rPr>
        <w:t xml:space="preserve"> настоящей статьи.</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47" w:name="Par252"/>
      <w:bookmarkEnd w:id="47"/>
      <w:r>
        <w:rPr>
          <w:rFonts w:ascii="Calibri" w:hAnsi="Calibri" w:cs="Calibri"/>
        </w:rPr>
        <w:t>Статья 30</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Непосредственные сношения</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48" w:name="Par256"/>
      <w:bookmarkEnd w:id="48"/>
      <w:r>
        <w:rPr>
          <w:rFonts w:ascii="Calibri" w:hAnsi="Calibri" w:cs="Calibri"/>
        </w:rPr>
        <w:t>1. Центральные органы осуществляют непосредственные сношения друг с другом.</w:t>
      </w: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49" w:name="Par257"/>
      <w:bookmarkEnd w:id="49"/>
      <w:r>
        <w:rPr>
          <w:rFonts w:ascii="Calibri" w:hAnsi="Calibri" w:cs="Calibri"/>
        </w:rP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Запросы или сообщения в соответствии с </w:t>
      </w:r>
      <w:hyperlink w:anchor="Par256" w:history="1">
        <w:r>
          <w:rPr>
            <w:rFonts w:ascii="Calibri" w:hAnsi="Calibri" w:cs="Calibri"/>
            <w:color w:val="0000FF"/>
          </w:rPr>
          <w:t>пунктами 1</w:t>
        </w:r>
      </w:hyperlink>
      <w:r>
        <w:rPr>
          <w:rFonts w:ascii="Calibri" w:hAnsi="Calibri" w:cs="Calibri"/>
        </w:rPr>
        <w:t xml:space="preserve"> и </w:t>
      </w:r>
      <w:hyperlink w:anchor="Par257" w:history="1">
        <w:r>
          <w:rPr>
            <w:rFonts w:ascii="Calibri" w:hAnsi="Calibri" w:cs="Calibri"/>
            <w:color w:val="0000FF"/>
          </w:rPr>
          <w:t>2</w:t>
        </w:r>
      </w:hyperlink>
      <w:r>
        <w:rPr>
          <w:rFonts w:ascii="Calibri" w:hAnsi="Calibri" w:cs="Calibri"/>
        </w:rPr>
        <w:t xml:space="preserve"> настоящей статьи могут быть направлены через Международную организацию уголовной полиции (Интерпол).</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когда в соответствии с </w:t>
      </w:r>
      <w:hyperlink w:anchor="Par257" w:history="1">
        <w:r>
          <w:rPr>
            <w:rFonts w:ascii="Calibri" w:hAnsi="Calibri" w:cs="Calibri"/>
            <w:color w:val="0000FF"/>
          </w:rPr>
          <w:t>пунктом 2</w:t>
        </w:r>
      </w:hyperlink>
      <w:r>
        <w:rPr>
          <w:rFonts w:ascii="Calibri" w:hAnsi="Calibri" w:cs="Calibri"/>
        </w:rPr>
        <w:t xml:space="preserve"> настоящей статьи представляется запрос и орган власти некомпетентен рассматривать его, он передает этот запрос компетентному национальному органу и непосредственно информирует об этом запрашивающую Сторону.</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Запросы или сообщения, представляемые в соответствии с </w:t>
      </w:r>
      <w:hyperlink w:anchor="Par257" w:history="1">
        <w:r>
          <w:rPr>
            <w:rFonts w:ascii="Calibri" w:hAnsi="Calibri" w:cs="Calibri"/>
            <w:color w:val="0000FF"/>
          </w:rPr>
          <w:t>пунктом 2</w:t>
        </w:r>
      </w:hyperlink>
      <w:r>
        <w:rPr>
          <w:rFonts w:ascii="Calibri" w:hAnsi="Calibri" w:cs="Calibri"/>
        </w:rP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50" w:name="Par263"/>
      <w:bookmarkEnd w:id="50"/>
      <w:r>
        <w:rPr>
          <w:rFonts w:ascii="Calibri" w:hAnsi="Calibri" w:cs="Calibri"/>
        </w:rPr>
        <w:t>Статья 31</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0"/>
        <w:rPr>
          <w:rFonts w:ascii="Calibri" w:hAnsi="Calibri" w:cs="Calibri"/>
        </w:rPr>
      </w:pPr>
      <w:bookmarkStart w:id="51" w:name="Par269"/>
      <w:bookmarkEnd w:id="51"/>
      <w:r>
        <w:rPr>
          <w:rFonts w:ascii="Calibri" w:hAnsi="Calibri" w:cs="Calibri"/>
        </w:rPr>
        <w:t>Глава V</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Заключительные положения</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52" w:name="Par273"/>
      <w:bookmarkEnd w:id="52"/>
      <w:r>
        <w:rPr>
          <w:rFonts w:ascii="Calibri" w:hAnsi="Calibri" w:cs="Calibri"/>
        </w:rPr>
        <w:t>Статья 32</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Подписание и вступление в силу</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53" w:name="Par277"/>
      <w:bookmarkEnd w:id="53"/>
      <w:r>
        <w:rPr>
          <w:rFonts w:ascii="Calibri" w:hAnsi="Calibri" w:cs="Calibri"/>
        </w:rP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подписания без оговорки относительно ратификации, принятия или одобрения; или</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ратификации, принятия или одобрения после подписания при условии ратификации, принятия или одобрения.</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Ратификационные грамоты, документы о принятии или одобрении сдаются на хранение Генеральному секретарю Совета Европы.</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ar277" w:history="1">
        <w:r>
          <w:rPr>
            <w:rFonts w:ascii="Calibri" w:hAnsi="Calibri" w:cs="Calibri"/>
            <w:color w:val="0000FF"/>
          </w:rPr>
          <w:t>пункта 1</w:t>
        </w:r>
      </w:hyperlink>
      <w:r>
        <w:rPr>
          <w:rFonts w:ascii="Calibri" w:hAnsi="Calibri" w:cs="Calibri"/>
        </w:rP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ar277" w:history="1">
        <w:r>
          <w:rPr>
            <w:rFonts w:ascii="Calibri" w:hAnsi="Calibri" w:cs="Calibri"/>
            <w:color w:val="0000FF"/>
          </w:rPr>
          <w:t>пункта 1</w:t>
        </w:r>
      </w:hyperlink>
      <w:r>
        <w:rPr>
          <w:rFonts w:ascii="Calibri" w:hAnsi="Calibri" w:cs="Calibri"/>
        </w:rP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 даты вступления для него Конвенции в силу.</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54" w:name="Par284"/>
      <w:bookmarkEnd w:id="54"/>
      <w:r>
        <w:rPr>
          <w:rFonts w:ascii="Calibri" w:hAnsi="Calibri" w:cs="Calibri"/>
        </w:rPr>
        <w:t>Статья 33</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Присоединение к Конвенции</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55" w:name="Par288"/>
      <w:bookmarkEnd w:id="55"/>
      <w:r>
        <w:rPr>
          <w:rFonts w:ascii="Calibri" w:hAnsi="Calibri" w:cs="Calibri"/>
        </w:rPr>
        <w:t xml:space="preserve">1. 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6" w:history="1">
        <w:r>
          <w:rPr>
            <w:rFonts w:ascii="Calibri" w:hAnsi="Calibri" w:cs="Calibri"/>
            <w:color w:val="0000FF"/>
          </w:rPr>
          <w:t>пункте d) статьи 20</w:t>
        </w:r>
      </w:hyperlink>
      <w:r>
        <w:rPr>
          <w:rFonts w:ascii="Calibri" w:hAnsi="Calibri" w:cs="Calibri"/>
        </w:rPr>
        <w:t xml:space="preserve"> Устава Совета Европы, при единодушном голосовании представителей Договаривающихся Государств, пользующихся правом участвовать в работе Комитета министров.</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Европейского сообщества и любого государства, присоединяющегося к Конвенции в соответствии с </w:t>
      </w:r>
      <w:hyperlink w:anchor="Par288" w:history="1">
        <w:r>
          <w:rPr>
            <w:rFonts w:ascii="Calibri" w:hAnsi="Calibri" w:cs="Calibri"/>
            <w:color w:val="0000FF"/>
          </w:rPr>
          <w:t>пунктом 1</w:t>
        </w:r>
      </w:hyperlink>
      <w:r>
        <w:rPr>
          <w:rFonts w:ascii="Calibri" w:hAnsi="Calibri" w:cs="Calibri"/>
        </w:rPr>
        <w:t xml:space="preserve"> выше, Конвенция вступает в силу в первый день месяца, следующего после истечения трехмесячного периода с даты сдачи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с даты вступления для него Конвенции в силу.</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56" w:name="Par291"/>
      <w:bookmarkEnd w:id="56"/>
      <w:r>
        <w:rPr>
          <w:rFonts w:ascii="Calibri" w:hAnsi="Calibri" w:cs="Calibri"/>
        </w:rPr>
        <w:t>Статья 34</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Территориальное применение</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с даты получения Генеральным секретарем такого заявления.</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с даты получения Генеральным секретарем такого уведомления.</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57" w:name="Par299"/>
      <w:bookmarkEnd w:id="57"/>
      <w:r>
        <w:rPr>
          <w:rFonts w:ascii="Calibri" w:hAnsi="Calibri" w:cs="Calibri"/>
        </w:rPr>
        <w:t>Статья 35</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Связь с другими конвенциями и соглашениями</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Настоящая Конвенция не затрагивает прав и обязательств, вытекающих из многосторонних международных конвенций по специальным вопросам.</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58" w:name="Par307"/>
      <w:bookmarkEnd w:id="58"/>
      <w:r>
        <w:rPr>
          <w:rFonts w:ascii="Calibri" w:hAnsi="Calibri" w:cs="Calibri"/>
        </w:rPr>
        <w:t>Статья 36</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Заявления</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ar62" w:history="1">
        <w:r>
          <w:rPr>
            <w:rFonts w:ascii="Calibri" w:hAnsi="Calibri" w:cs="Calibri"/>
            <w:color w:val="0000FF"/>
          </w:rPr>
          <w:t>статьей 5</w:t>
        </w:r>
      </w:hyperlink>
      <w:r>
        <w:rPr>
          <w:rFonts w:ascii="Calibri" w:hAnsi="Calibri" w:cs="Calibri"/>
        </w:rPr>
        <w:t xml:space="preserve">, должностных лиц международных организаций согласно </w:t>
      </w:r>
      <w:hyperlink w:anchor="Par86" w:history="1">
        <w:r>
          <w:rPr>
            <w:rFonts w:ascii="Calibri" w:hAnsi="Calibri" w:cs="Calibri"/>
            <w:color w:val="0000FF"/>
          </w:rPr>
          <w:t>статье 9</w:t>
        </w:r>
      </w:hyperlink>
      <w:r>
        <w:rPr>
          <w:rFonts w:ascii="Calibri" w:hAnsi="Calibri" w:cs="Calibri"/>
        </w:rPr>
        <w:t xml:space="preserve"> или судей и должностных лиц международных судов в соответствии со </w:t>
      </w:r>
      <w:hyperlink w:anchor="Par98" w:history="1">
        <w:r>
          <w:rPr>
            <w:rFonts w:ascii="Calibri" w:hAnsi="Calibri" w:cs="Calibri"/>
            <w:color w:val="0000FF"/>
          </w:rPr>
          <w:t>статьей 11</w:t>
        </w:r>
      </w:hyperlink>
      <w:r>
        <w:rPr>
          <w:rFonts w:ascii="Calibri" w:hAnsi="Calibri" w:cs="Calibri"/>
        </w:rPr>
        <w:t xml:space="preserve"> лишь в той степени, в какой публичное должностное лицо или судья действует или воздерживается от действий в нарушение своих обязанностей.</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59" w:name="Par313"/>
      <w:bookmarkEnd w:id="59"/>
      <w:r>
        <w:rPr>
          <w:rFonts w:ascii="Calibri" w:hAnsi="Calibri" w:cs="Calibri"/>
        </w:rPr>
        <w:t>Статья 37</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Оговорки</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60" w:name="Par317"/>
      <w:bookmarkEnd w:id="60"/>
      <w:r>
        <w:rPr>
          <w:rFonts w:ascii="Calibri" w:hAnsi="Calibri" w:cs="Calibri"/>
        </w:rPr>
        <w:t xml:space="preserve">1. 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ar56" w:history="1">
        <w:r>
          <w:rPr>
            <w:rFonts w:ascii="Calibri" w:hAnsi="Calibri" w:cs="Calibri"/>
            <w:color w:val="0000FF"/>
          </w:rPr>
          <w:t>статьях 4</w:t>
        </w:r>
      </w:hyperlink>
      <w:r>
        <w:rPr>
          <w:rFonts w:ascii="Calibri" w:hAnsi="Calibri" w:cs="Calibri"/>
        </w:rPr>
        <w:t xml:space="preserve">, </w:t>
      </w:r>
      <w:hyperlink w:anchor="Par68" w:history="1">
        <w:r>
          <w:rPr>
            <w:rFonts w:ascii="Calibri" w:hAnsi="Calibri" w:cs="Calibri"/>
            <w:color w:val="0000FF"/>
          </w:rPr>
          <w:t>6</w:t>
        </w:r>
      </w:hyperlink>
      <w:r>
        <w:rPr>
          <w:rFonts w:ascii="Calibri" w:hAnsi="Calibri" w:cs="Calibri"/>
        </w:rPr>
        <w:t xml:space="preserve"> - </w:t>
      </w:r>
      <w:hyperlink w:anchor="Par80" w:history="1">
        <w:r>
          <w:rPr>
            <w:rFonts w:ascii="Calibri" w:hAnsi="Calibri" w:cs="Calibri"/>
            <w:color w:val="0000FF"/>
          </w:rPr>
          <w:t>8</w:t>
        </w:r>
      </w:hyperlink>
      <w:r>
        <w:rPr>
          <w:rFonts w:ascii="Calibri" w:hAnsi="Calibri" w:cs="Calibri"/>
        </w:rPr>
        <w:t xml:space="preserve">, </w:t>
      </w:r>
      <w:hyperlink w:anchor="Par92" w:history="1">
        <w:r>
          <w:rPr>
            <w:rFonts w:ascii="Calibri" w:hAnsi="Calibri" w:cs="Calibri"/>
            <w:color w:val="0000FF"/>
          </w:rPr>
          <w:t>10</w:t>
        </w:r>
      </w:hyperlink>
      <w:r>
        <w:rPr>
          <w:rFonts w:ascii="Calibri" w:hAnsi="Calibri" w:cs="Calibri"/>
        </w:rPr>
        <w:t xml:space="preserve"> и </w:t>
      </w:r>
      <w:hyperlink w:anchor="Par104" w:history="1">
        <w:r>
          <w:rPr>
            <w:rFonts w:ascii="Calibri" w:hAnsi="Calibri" w:cs="Calibri"/>
            <w:color w:val="0000FF"/>
          </w:rPr>
          <w:t>12</w:t>
        </w:r>
      </w:hyperlink>
      <w:r>
        <w:rPr>
          <w:rFonts w:ascii="Calibri" w:hAnsi="Calibri" w:cs="Calibri"/>
        </w:rPr>
        <w:t xml:space="preserve">, или правонарушения, связанные с пассивным подкупом, определенные в </w:t>
      </w:r>
      <w:hyperlink w:anchor="Par62" w:history="1">
        <w:r>
          <w:rPr>
            <w:rFonts w:ascii="Calibri" w:hAnsi="Calibri" w:cs="Calibri"/>
            <w:color w:val="0000FF"/>
          </w:rPr>
          <w:t>статье 5</w:t>
        </w:r>
      </w:hyperlink>
      <w:r>
        <w:rPr>
          <w:rFonts w:ascii="Calibri" w:hAnsi="Calibri" w:cs="Calibri"/>
        </w:rPr>
        <w:t>.</w:t>
      </w: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61" w:name="Par318"/>
      <w:bookmarkEnd w:id="61"/>
      <w:r>
        <w:rPr>
          <w:rFonts w:ascii="Calibri" w:hAnsi="Calibri" w:cs="Calibri"/>
        </w:rP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ar144" w:history="1">
        <w:r>
          <w:rPr>
            <w:rFonts w:ascii="Calibri" w:hAnsi="Calibri" w:cs="Calibri"/>
            <w:color w:val="0000FF"/>
          </w:rPr>
          <w:t>пунктом 2 статьи 17</w:t>
        </w:r>
      </w:hyperlink>
      <w:r>
        <w:rPr>
          <w:rFonts w:ascii="Calibri" w:hAnsi="Calibri" w:cs="Calibri"/>
        </w:rPr>
        <w:t>.</w:t>
      </w: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62" w:name="Par319"/>
      <w:bookmarkEnd w:id="62"/>
      <w:r>
        <w:rPr>
          <w:rFonts w:ascii="Calibri" w:hAnsi="Calibri" w:cs="Calibri"/>
        </w:rP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ar225" w:history="1">
        <w:r>
          <w:rPr>
            <w:rFonts w:ascii="Calibri" w:hAnsi="Calibri" w:cs="Calibri"/>
            <w:color w:val="0000FF"/>
          </w:rPr>
          <w:t>пунктом 1 статьи 26</w:t>
        </w:r>
      </w:hyperlink>
      <w:r>
        <w:rPr>
          <w:rFonts w:ascii="Calibri" w:hAnsi="Calibri" w:cs="Calibri"/>
        </w:rPr>
        <w:t>, если соответствующий запрос касается правонарушения, которое запрашиваемая Сторона считает политическим правонарушением.</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смыслу применения </w:t>
      </w:r>
      <w:hyperlink w:anchor="Par317" w:history="1">
        <w:r>
          <w:rPr>
            <w:rFonts w:ascii="Calibri" w:hAnsi="Calibri" w:cs="Calibri"/>
            <w:color w:val="0000FF"/>
          </w:rPr>
          <w:t>пунктов 1</w:t>
        </w:r>
      </w:hyperlink>
      <w:r>
        <w:rPr>
          <w:rFonts w:ascii="Calibri" w:hAnsi="Calibri" w:cs="Calibri"/>
        </w:rPr>
        <w:t xml:space="preserve">, </w:t>
      </w:r>
      <w:hyperlink w:anchor="Par318" w:history="1">
        <w:r>
          <w:rPr>
            <w:rFonts w:ascii="Calibri" w:hAnsi="Calibri" w:cs="Calibri"/>
            <w:color w:val="0000FF"/>
          </w:rPr>
          <w:t>2</w:t>
        </w:r>
      </w:hyperlink>
      <w:r>
        <w:rPr>
          <w:rFonts w:ascii="Calibri" w:hAnsi="Calibri" w:cs="Calibri"/>
        </w:rPr>
        <w:t xml:space="preserve"> и </w:t>
      </w:r>
      <w:hyperlink w:anchor="Par319" w:history="1">
        <w:r>
          <w:rPr>
            <w:rFonts w:ascii="Calibri" w:hAnsi="Calibri" w:cs="Calibri"/>
            <w:color w:val="0000FF"/>
          </w:rPr>
          <w:t>3 настоящей статьи</w:t>
        </w:r>
      </w:hyperlink>
      <w:r>
        <w:rPr>
          <w:rFonts w:ascii="Calibri" w:hAnsi="Calibri" w:cs="Calibri"/>
        </w:rPr>
        <w:t xml:space="preserve"> никакое государство не может высказывать оговорки по более чем пяти упомянутым в них положениям. Никакие другие оговорки не допускаются. Оговорки однородного характера по </w:t>
      </w:r>
      <w:hyperlink w:anchor="Par56" w:history="1">
        <w:r>
          <w:rPr>
            <w:rFonts w:ascii="Calibri" w:hAnsi="Calibri" w:cs="Calibri"/>
            <w:color w:val="0000FF"/>
          </w:rPr>
          <w:t>статьям 4</w:t>
        </w:r>
      </w:hyperlink>
      <w:r>
        <w:rPr>
          <w:rFonts w:ascii="Calibri" w:hAnsi="Calibri" w:cs="Calibri"/>
        </w:rPr>
        <w:t xml:space="preserve">, </w:t>
      </w:r>
      <w:hyperlink w:anchor="Par68" w:history="1">
        <w:r>
          <w:rPr>
            <w:rFonts w:ascii="Calibri" w:hAnsi="Calibri" w:cs="Calibri"/>
            <w:color w:val="0000FF"/>
          </w:rPr>
          <w:t>6</w:t>
        </w:r>
      </w:hyperlink>
      <w:r>
        <w:rPr>
          <w:rFonts w:ascii="Calibri" w:hAnsi="Calibri" w:cs="Calibri"/>
        </w:rPr>
        <w:t xml:space="preserve"> и </w:t>
      </w:r>
      <w:hyperlink w:anchor="Par92" w:history="1">
        <w:r>
          <w:rPr>
            <w:rFonts w:ascii="Calibri" w:hAnsi="Calibri" w:cs="Calibri"/>
            <w:color w:val="0000FF"/>
          </w:rPr>
          <w:t>10</w:t>
        </w:r>
      </w:hyperlink>
      <w:r>
        <w:rPr>
          <w:rFonts w:ascii="Calibri" w:hAnsi="Calibri" w:cs="Calibri"/>
        </w:rPr>
        <w:t xml:space="preserve"> считаются одной оговоркой.</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63" w:name="Par322"/>
      <w:bookmarkEnd w:id="63"/>
      <w:r>
        <w:rPr>
          <w:rFonts w:ascii="Calibri" w:hAnsi="Calibri" w:cs="Calibri"/>
        </w:rPr>
        <w:t>Статья 38</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Юридическая сила и пересмотр заявлений и оговорок</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Заявления, упомянутые в </w:t>
      </w:r>
      <w:hyperlink w:anchor="Par307" w:history="1">
        <w:r>
          <w:rPr>
            <w:rFonts w:ascii="Calibri" w:hAnsi="Calibri" w:cs="Calibri"/>
            <w:color w:val="0000FF"/>
          </w:rPr>
          <w:t>статье 36</w:t>
        </w:r>
      </w:hyperlink>
      <w:r>
        <w:rPr>
          <w:rFonts w:ascii="Calibri" w:hAnsi="Calibri" w:cs="Calibri"/>
        </w:rPr>
        <w:t xml:space="preserve">, и оговорки, упомянутые в </w:t>
      </w:r>
      <w:hyperlink w:anchor="Par313" w:history="1">
        <w:r>
          <w:rPr>
            <w:rFonts w:ascii="Calibri" w:hAnsi="Calibri" w:cs="Calibri"/>
            <w:color w:val="0000FF"/>
          </w:rPr>
          <w:t>статье 37</w:t>
        </w:r>
      </w:hyperlink>
      <w:r>
        <w:rPr>
          <w:rFonts w:ascii="Calibri" w:hAnsi="Calibri" w:cs="Calibri"/>
        </w:rP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позднее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Договаривающаяся Сторона делает заявление или оговорку согласно </w:t>
      </w:r>
      <w:hyperlink w:anchor="Par307" w:history="1">
        <w:r>
          <w:rPr>
            <w:rFonts w:ascii="Calibri" w:hAnsi="Calibri" w:cs="Calibri"/>
            <w:color w:val="0000FF"/>
          </w:rPr>
          <w:t>статьям 36</w:t>
        </w:r>
      </w:hyperlink>
      <w:r>
        <w:rPr>
          <w:rFonts w:ascii="Calibri" w:hAnsi="Calibri" w:cs="Calibri"/>
        </w:rPr>
        <w:t xml:space="preserve"> и </w:t>
      </w:r>
      <w:hyperlink w:anchor="Par313" w:history="1">
        <w:r>
          <w:rPr>
            <w:rFonts w:ascii="Calibri" w:hAnsi="Calibri" w:cs="Calibri"/>
            <w:color w:val="0000FF"/>
          </w:rPr>
          <w:t>37</w:t>
        </w:r>
      </w:hyperlink>
      <w:r>
        <w:rPr>
          <w:rFonts w:ascii="Calibri" w:hAnsi="Calibri" w:cs="Calibri"/>
        </w:rP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64" w:name="Par330"/>
      <w:bookmarkEnd w:id="64"/>
      <w:r>
        <w:rPr>
          <w:rFonts w:ascii="Calibri" w:hAnsi="Calibri" w:cs="Calibri"/>
        </w:rPr>
        <w:t>Статья 39</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Поправки</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ar284" w:history="1">
        <w:r>
          <w:rPr>
            <w:rFonts w:ascii="Calibri" w:hAnsi="Calibri" w:cs="Calibri"/>
            <w:color w:val="0000FF"/>
          </w:rPr>
          <w:t>статьи 33</w:t>
        </w:r>
      </w:hyperlink>
      <w:r>
        <w:rPr>
          <w:rFonts w:ascii="Calibri" w:hAnsi="Calibri" w:cs="Calibri"/>
        </w:rPr>
        <w:t>.</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0E0B76" w:rsidRDefault="000E0B76">
      <w:pPr>
        <w:widowControl w:val="0"/>
        <w:autoSpaceDE w:val="0"/>
        <w:autoSpaceDN w:val="0"/>
        <w:adjustRightInd w:val="0"/>
        <w:spacing w:after="0" w:line="240" w:lineRule="auto"/>
        <w:ind w:firstLine="540"/>
        <w:jc w:val="both"/>
        <w:rPr>
          <w:rFonts w:ascii="Calibri" w:hAnsi="Calibri" w:cs="Calibri"/>
        </w:rPr>
      </w:pPr>
      <w:bookmarkStart w:id="65" w:name="Par336"/>
      <w:bookmarkEnd w:id="65"/>
      <w:r>
        <w:rPr>
          <w:rFonts w:ascii="Calibri" w:hAnsi="Calibri" w:cs="Calibri"/>
        </w:rP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Текст любой поправки, принятый Комитетом министров в соответствии с </w:t>
      </w:r>
      <w:hyperlink w:anchor="Par336" w:history="1">
        <w:r>
          <w:rPr>
            <w:rFonts w:ascii="Calibri" w:hAnsi="Calibri" w:cs="Calibri"/>
            <w:color w:val="0000FF"/>
          </w:rPr>
          <w:t>пунктом 3</w:t>
        </w:r>
      </w:hyperlink>
      <w:r>
        <w:rPr>
          <w:rFonts w:ascii="Calibri" w:hAnsi="Calibri" w:cs="Calibri"/>
        </w:rPr>
        <w:t xml:space="preserve"> настоящей статьи, препровождается Сторонам для принятия.</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Любая поправка, принятая в соответствии с </w:t>
      </w:r>
      <w:hyperlink w:anchor="Par336" w:history="1">
        <w:r>
          <w:rPr>
            <w:rFonts w:ascii="Calibri" w:hAnsi="Calibri" w:cs="Calibri"/>
            <w:color w:val="0000FF"/>
          </w:rPr>
          <w:t>пунктом 3</w:t>
        </w:r>
      </w:hyperlink>
      <w:r>
        <w:rPr>
          <w:rFonts w:ascii="Calibri" w:hAnsi="Calibri" w:cs="Calibri"/>
        </w:rP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66" w:name="Par340"/>
      <w:bookmarkEnd w:id="66"/>
      <w:r>
        <w:rPr>
          <w:rFonts w:ascii="Calibri" w:hAnsi="Calibri" w:cs="Calibri"/>
        </w:rPr>
        <w:t>Статья 40</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Урегулирование споров</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w:t>
      </w:r>
      <w:r>
        <w:rPr>
          <w:rFonts w:ascii="Calibri" w:hAnsi="Calibri" w:cs="Calibri"/>
        </w:rPr>
        <w:lastRenderedPageBreak/>
        <w:t>Международного Суда по согласованию между соответствующими Сторонами.</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67" w:name="Par347"/>
      <w:bookmarkEnd w:id="67"/>
      <w:r>
        <w:rPr>
          <w:rFonts w:ascii="Calibri" w:hAnsi="Calibri" w:cs="Calibri"/>
        </w:rPr>
        <w:t>Статья 41</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Денонсация</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jc w:val="center"/>
        <w:outlineLvl w:val="1"/>
        <w:rPr>
          <w:rFonts w:ascii="Calibri" w:hAnsi="Calibri" w:cs="Calibri"/>
        </w:rPr>
      </w:pPr>
      <w:bookmarkStart w:id="68" w:name="Par354"/>
      <w:bookmarkEnd w:id="68"/>
      <w:r>
        <w:rPr>
          <w:rFonts w:ascii="Calibri" w:hAnsi="Calibri" w:cs="Calibri"/>
        </w:rPr>
        <w:t>Статья 42</w:t>
      </w:r>
    </w:p>
    <w:p w:rsidR="000E0B76" w:rsidRDefault="000E0B76">
      <w:pPr>
        <w:widowControl w:val="0"/>
        <w:autoSpaceDE w:val="0"/>
        <w:autoSpaceDN w:val="0"/>
        <w:adjustRightInd w:val="0"/>
        <w:spacing w:after="0" w:line="240" w:lineRule="auto"/>
        <w:jc w:val="center"/>
        <w:rPr>
          <w:rFonts w:ascii="Calibri" w:hAnsi="Calibri" w:cs="Calibri"/>
        </w:rPr>
      </w:pPr>
    </w:p>
    <w:p w:rsidR="000E0B76" w:rsidRDefault="000E0B76">
      <w:pPr>
        <w:widowControl w:val="0"/>
        <w:autoSpaceDE w:val="0"/>
        <w:autoSpaceDN w:val="0"/>
        <w:adjustRightInd w:val="0"/>
        <w:spacing w:after="0" w:line="240" w:lineRule="auto"/>
        <w:jc w:val="center"/>
        <w:rPr>
          <w:rFonts w:ascii="Calibri" w:hAnsi="Calibri" w:cs="Calibri"/>
        </w:rPr>
      </w:pPr>
      <w:r>
        <w:rPr>
          <w:rFonts w:ascii="Calibri" w:hAnsi="Calibri" w:cs="Calibri"/>
        </w:rPr>
        <w:t>Уведомление</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Генеральный секретарь Совета Европы уведомляет государства - члены Совета и любое государство, которое присоединилось к Конвенции, о:</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любом подписании;</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сдаче на хранение любой ратификационной грамоты, документа о принятии, одобрении или присоединении;</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любой дате вступления в силу настоящей Конвенции в соответствии со </w:t>
      </w:r>
      <w:hyperlink w:anchor="Par273" w:history="1">
        <w:r>
          <w:rPr>
            <w:rFonts w:ascii="Calibri" w:hAnsi="Calibri" w:cs="Calibri"/>
            <w:color w:val="0000FF"/>
          </w:rPr>
          <w:t>статьями 32</w:t>
        </w:r>
      </w:hyperlink>
      <w:r>
        <w:rPr>
          <w:rFonts w:ascii="Calibri" w:hAnsi="Calibri" w:cs="Calibri"/>
        </w:rPr>
        <w:t xml:space="preserve"> и </w:t>
      </w:r>
      <w:hyperlink w:anchor="Par284" w:history="1">
        <w:r>
          <w:rPr>
            <w:rFonts w:ascii="Calibri" w:hAnsi="Calibri" w:cs="Calibri"/>
            <w:color w:val="0000FF"/>
          </w:rPr>
          <w:t>33</w:t>
        </w:r>
      </w:hyperlink>
      <w:r>
        <w:rPr>
          <w:rFonts w:ascii="Calibri" w:hAnsi="Calibri" w:cs="Calibri"/>
        </w:rPr>
        <w:t>;</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d) любом заявлении или оговорке, сделанными в соответствии со </w:t>
      </w:r>
      <w:hyperlink w:anchor="Par307" w:history="1">
        <w:r>
          <w:rPr>
            <w:rFonts w:ascii="Calibri" w:hAnsi="Calibri" w:cs="Calibri"/>
            <w:color w:val="0000FF"/>
          </w:rPr>
          <w:t>статьей 36</w:t>
        </w:r>
      </w:hyperlink>
      <w:r>
        <w:rPr>
          <w:rFonts w:ascii="Calibri" w:hAnsi="Calibri" w:cs="Calibri"/>
        </w:rPr>
        <w:t xml:space="preserve"> или </w:t>
      </w:r>
      <w:hyperlink w:anchor="Par313" w:history="1">
        <w:r>
          <w:rPr>
            <w:rFonts w:ascii="Calibri" w:hAnsi="Calibri" w:cs="Calibri"/>
            <w:color w:val="0000FF"/>
          </w:rPr>
          <w:t>37</w:t>
        </w:r>
      </w:hyperlink>
      <w:r>
        <w:rPr>
          <w:rFonts w:ascii="Calibri" w:hAnsi="Calibri" w:cs="Calibri"/>
        </w:rPr>
        <w:t>;</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любом ином действии, уведомлении или сообщении, относящемся к настоящей Конвенции.</w:t>
      </w: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удостоверение чего нижеподписавшиеся, должным образом на то уполномоченные, подписали настоящую Конвенцию.</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autoSpaceDE w:val="0"/>
        <w:autoSpaceDN w:val="0"/>
        <w:adjustRightInd w:val="0"/>
        <w:spacing w:after="0" w:line="240" w:lineRule="auto"/>
        <w:ind w:firstLine="540"/>
        <w:jc w:val="both"/>
        <w:rPr>
          <w:rFonts w:ascii="Calibri" w:hAnsi="Calibri" w:cs="Calibri"/>
        </w:rPr>
      </w:pPr>
    </w:p>
    <w:p w:rsidR="000E0B76" w:rsidRDefault="000E0B7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5D1E19" w:rsidRDefault="005D1E19"/>
    <w:sectPr w:rsidR="005D1E19" w:rsidSect="008E6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76"/>
    <w:rsid w:val="000E0B76"/>
    <w:rsid w:val="003A74F7"/>
    <w:rsid w:val="004E6508"/>
    <w:rsid w:val="005D1E19"/>
    <w:rsid w:val="00B61D24"/>
    <w:rsid w:val="00E63F58"/>
    <w:rsid w:val="00FA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B3BCA-A50D-4D5F-9F42-D5BD42C8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D1F69448D0146D33C36EB86B92288DC72690D5CD407136C8A6FB9D809120F0B23C2BA4CB4FA6FL3O1M" TargetMode="External"/><Relationship Id="rId5" Type="http://schemas.openxmlformats.org/officeDocument/2006/relationships/hyperlink" Target="consultantplus://offline/ref=6D1F69448D0146D33C36EB86B92288DC72690C5AD707136C8A6FB9D809120F0B23C2BA4CB4FA63L3O6M" TargetMode="External"/><Relationship Id="rId4" Type="http://schemas.openxmlformats.org/officeDocument/2006/relationships/hyperlink" Target="consultantplus://offline/ref=6D1F69448D0146D33C36EB86B92288DC72690C5AD707136C8A6FB9D809120F0B23C2BA4CB4FA64L3O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6324</Words>
  <Characters>36052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МайклШон</dc:creator>
  <cp:lastModifiedBy>Антон Р.</cp:lastModifiedBy>
  <cp:revision>3</cp:revision>
  <dcterms:created xsi:type="dcterms:W3CDTF">2015-03-04T12:14:00Z</dcterms:created>
  <dcterms:modified xsi:type="dcterms:W3CDTF">2015-03-04T12:54:00Z</dcterms:modified>
</cp:coreProperties>
</file>